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:rsidTr="00DE3FA8">
        <w:tc>
          <w:tcPr>
            <w:tcW w:w="9778" w:type="dxa"/>
            <w:shd w:val="clear" w:color="auto" w:fill="auto"/>
          </w:tcPr>
          <w:p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383A73">
              <w:rPr>
                <w:b/>
                <w:sz w:val="32"/>
                <w:lang w:val="it-IT"/>
              </w:rPr>
              <w:t>2</w:t>
            </w:r>
            <w:r w:rsidR="00E75698">
              <w:rPr>
                <w:b/>
                <w:sz w:val="32"/>
                <w:lang w:val="it-IT"/>
              </w:rPr>
              <w:t xml:space="preserve"> del 31.01.2019</w:t>
            </w:r>
          </w:p>
          <w:p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3_2_4_2_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>Release note al 31/</w:t>
            </w:r>
            <w:r w:rsidR="004B3485">
              <w:rPr>
                <w:sz w:val="32"/>
                <w:lang w:val="it-IT"/>
              </w:rPr>
              <w:t>01</w:t>
            </w:r>
            <w:r w:rsidR="00DE3FA8">
              <w:rPr>
                <w:sz w:val="32"/>
                <w:lang w:val="it-IT"/>
              </w:rPr>
              <w:t>/201</w:t>
            </w:r>
            <w:r w:rsidR="004B3485">
              <w:rPr>
                <w:sz w:val="32"/>
                <w:lang w:val="it-IT"/>
              </w:rPr>
              <w:t>9</w:t>
            </w:r>
            <w:r w:rsidR="00DE3FA8" w:rsidRPr="00BB5902">
              <w:rPr>
                <w:sz w:val="32"/>
                <w:lang w:val="it-IT"/>
              </w:rPr>
              <w:t>_</w:t>
            </w:r>
            <w:r w:rsidR="00E75698">
              <w:rPr>
                <w:sz w:val="32"/>
                <w:lang w:val="it-IT"/>
              </w:rPr>
              <w:t>vers.1.0_</w:t>
            </w:r>
            <w:r w:rsidR="00DE3FA8" w:rsidRPr="00BB5902">
              <w:rPr>
                <w:sz w:val="32"/>
                <w:lang w:val="it-IT"/>
              </w:rPr>
              <w:t xml:space="preserve">n. </w:t>
            </w:r>
            <w:r w:rsidR="00DE3FA8">
              <w:rPr>
                <w:sz w:val="32"/>
                <w:lang w:val="it-IT"/>
              </w:rPr>
              <w:t>01/2019</w:t>
            </w:r>
          </w:p>
          <w:p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3B0AD0">
              <w:rPr>
                <w:lang w:val="it-IT"/>
              </w:rPr>
              <w:t>1</w:t>
            </w:r>
            <w:r w:rsidR="00540603">
              <w:rPr>
                <w:lang w:val="it-IT"/>
              </w:rPr>
              <w:t>5</w:t>
            </w:r>
            <w:r w:rsidR="003B0AD0">
              <w:rPr>
                <w:lang w:val="it-IT"/>
              </w:rPr>
              <w:t>/</w:t>
            </w:r>
            <w:r w:rsidR="00A950EF">
              <w:rPr>
                <w:lang w:val="it-IT"/>
              </w:rPr>
              <w:t>02</w:t>
            </w:r>
            <w:r>
              <w:rPr>
                <w:lang w:val="it-IT"/>
              </w:rPr>
              <w:t>/2019</w:t>
            </w:r>
          </w:p>
          <w:p w:rsidR="00DE3FA8" w:rsidRPr="00BB5902" w:rsidRDefault="00DE3FA8" w:rsidP="005347D3">
            <w:pPr>
              <w:pStyle w:val="Sommariodefinitivo"/>
            </w:pPr>
          </w:p>
          <w:p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>
              <w:rPr>
                <w:lang w:val="it-IT"/>
              </w:rPr>
              <w:t>Massimo Piccione, Giovanni Calò</w:t>
            </w:r>
          </w:p>
          <w:p w:rsidR="00DE3FA8" w:rsidRPr="00BB5902" w:rsidRDefault="00DE3FA8" w:rsidP="005347D3">
            <w:pPr>
              <w:pStyle w:val="Sommariodefinitivo"/>
            </w:pPr>
          </w:p>
          <w:p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286EED" w:rsidP="003B0AD0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="00540603">
                    <w:t>5</w:t>
                  </w:r>
                  <w:bookmarkStart w:id="1" w:name="_GoBack"/>
                  <w:bookmarkEnd w:id="1"/>
                  <w:r>
                    <w:t>/</w:t>
                  </w:r>
                  <w:r w:rsidR="004B3485">
                    <w:t>02</w:t>
                  </w:r>
                  <w:r w:rsidR="00DE3FA8">
                    <w:t>/2019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DE3FA8" w:rsidRPr="00BB5902" w:rsidRDefault="00DE3FA8" w:rsidP="005347D3">
            <w:pPr>
              <w:pStyle w:val="Sommariodefinitivo"/>
            </w:pPr>
          </w:p>
        </w:tc>
      </w:tr>
    </w:tbl>
    <w:p w:rsidR="00DE3FA8" w:rsidRDefault="00DE3FA8" w:rsidP="00DE3FA8">
      <w:pPr>
        <w:rPr>
          <w:lang w:eastAsia="it-IT"/>
        </w:rPr>
      </w:pPr>
    </w:p>
    <w:p w:rsidR="00DE3FA8" w:rsidRDefault="00DE3FA8" w:rsidP="00DE3FA8">
      <w:pPr>
        <w:rPr>
          <w:lang w:eastAsia="it-IT"/>
        </w:rPr>
      </w:pPr>
    </w:p>
    <w:p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a far data da</w:t>
      </w:r>
      <w:r w:rsidR="003E35D6">
        <w:rPr>
          <w:rFonts w:ascii="Arial Narrow" w:hAnsi="Arial Narrow"/>
        </w:rPr>
        <w:t>l 31</w:t>
      </w:r>
      <w:r w:rsidR="00211A7A">
        <w:rPr>
          <w:rFonts w:ascii="Arial Narrow" w:hAnsi="Arial Narrow"/>
        </w:rPr>
        <w:t>.</w:t>
      </w:r>
      <w:r w:rsidR="003E35D6">
        <w:rPr>
          <w:rFonts w:ascii="Arial Narrow" w:hAnsi="Arial Narrow"/>
        </w:rPr>
        <w:t>12</w:t>
      </w:r>
      <w:r w:rsidR="00211A7A">
        <w:rPr>
          <w:rFonts w:ascii="Arial Narrow" w:hAnsi="Arial Narrow"/>
        </w:rPr>
        <w:t>.</w:t>
      </w:r>
      <w:r w:rsidR="003E35D6">
        <w:rPr>
          <w:rFonts w:ascii="Arial Narrow" w:hAnsi="Arial Narrow"/>
        </w:rPr>
        <w:t xml:space="preserve">2018 fino al </w:t>
      </w:r>
      <w:r>
        <w:rPr>
          <w:rFonts w:ascii="Arial Narrow" w:hAnsi="Arial Narrow"/>
        </w:rPr>
        <w:t>31</w:t>
      </w:r>
      <w:r w:rsidR="00211A7A">
        <w:rPr>
          <w:rFonts w:ascii="Arial Narrow" w:hAnsi="Arial Narrow"/>
        </w:rPr>
        <w:t>.</w:t>
      </w:r>
      <w:r w:rsidR="00A950EF">
        <w:rPr>
          <w:rFonts w:ascii="Arial Narrow" w:hAnsi="Arial Narrow"/>
        </w:rPr>
        <w:t>01</w:t>
      </w:r>
      <w:r w:rsidR="00211A7A">
        <w:rPr>
          <w:rFonts w:ascii="Arial Narrow" w:hAnsi="Arial Narrow"/>
        </w:rPr>
        <w:t>.</w:t>
      </w:r>
      <w:r>
        <w:rPr>
          <w:rFonts w:ascii="Arial Narrow" w:hAnsi="Arial Narrow"/>
        </w:rPr>
        <w:t>201</w:t>
      </w:r>
      <w:r w:rsidR="00A950EF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nell’ambito delle attività di evolutiva e correttiva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:rsidR="00BB0E5E" w:rsidRPr="00DE3FA8" w:rsidRDefault="00BB0E5E" w:rsidP="00DE3FA8">
      <w:pPr>
        <w:jc w:val="both"/>
        <w:rPr>
          <w:rFonts w:ascii="Arial Narrow" w:hAnsi="Arial Narrow"/>
        </w:rPr>
      </w:pPr>
      <w:bookmarkStart w:id="2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bookmarkEnd w:id="2"/>
    <w:p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:rsidR="004B3485" w:rsidRPr="00A33AFC" w:rsidRDefault="004B3485" w:rsidP="00286EED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Funzionalità</w:t>
      </w:r>
    </w:p>
    <w:p w:rsidR="00DB3D38" w:rsidRDefault="003A4F0C" w:rsidP="003A4F0C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Adeguamento trasformazioni per gestione TC12.10</w:t>
      </w:r>
    </w:p>
    <w:p w:rsidR="003A4F0C" w:rsidRPr="003A4F0C" w:rsidRDefault="00FE47F3" w:rsidP="003A4F0C">
      <w:pPr>
        <w:pStyle w:val="Sommariodefinitivo"/>
        <w:rPr>
          <w:color w:val="auto"/>
          <w:lang w:val="it-IT"/>
        </w:rPr>
      </w:pPr>
      <w:r>
        <w:rPr>
          <w:color w:val="auto"/>
          <w:lang w:val="it-IT"/>
        </w:rPr>
        <w:t>Si è provveduto ad adeguare le trasformazioni della struttura AP03 per fare in modo c</w:t>
      </w:r>
      <w:r w:rsidR="003A4F0C" w:rsidRPr="003A4F0C">
        <w:rPr>
          <w:color w:val="auto"/>
          <w:lang w:val="it-IT"/>
        </w:rPr>
        <w:t>he in</w:t>
      </w:r>
      <w:r w:rsidR="003A4F0C">
        <w:rPr>
          <w:color w:val="auto"/>
          <w:lang w:val="it-IT"/>
        </w:rPr>
        <w:t xml:space="preserve"> </w:t>
      </w:r>
      <w:r w:rsidR="003A4F0C" w:rsidRPr="003A4F0C">
        <w:rPr>
          <w:color w:val="auto"/>
          <w:lang w:val="it-IT"/>
        </w:rPr>
        <w:t>fase di generazione del txt fosse creata anche la stringa relativa alla classificazione di Tipo LA</w:t>
      </w:r>
      <w:r>
        <w:rPr>
          <w:color w:val="auto"/>
          <w:lang w:val="it-IT"/>
        </w:rPr>
        <w:t>, al fine di consentire i</w:t>
      </w:r>
      <w:r w:rsidR="003A4F0C" w:rsidRPr="003A4F0C">
        <w:rPr>
          <w:color w:val="auto"/>
          <w:lang w:val="it-IT"/>
        </w:rPr>
        <w:t>l corretto monitoraggio dell'associazione tra progetti e linee d'azione ai fini del Performance Framework</w:t>
      </w:r>
      <w:r w:rsidR="00956D37">
        <w:rPr>
          <w:color w:val="auto"/>
          <w:lang w:val="it-IT"/>
        </w:rPr>
        <w:t>.</w:t>
      </w:r>
    </w:p>
    <w:p w:rsidR="003A4F0C" w:rsidRPr="00AE6017" w:rsidRDefault="003A4F0C" w:rsidP="003A4F0C">
      <w:pPr>
        <w:pStyle w:val="Sommariodefinitivo"/>
        <w:numPr>
          <w:ilvl w:val="0"/>
          <w:numId w:val="11"/>
        </w:numPr>
        <w:ind w:hanging="720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Visualizzazione attestazione di spesa da parte dell'ADP</w:t>
      </w:r>
    </w:p>
    <w:p w:rsidR="004B3485" w:rsidRDefault="00FE47F3" w:rsidP="003A4F0C">
      <w:pPr>
        <w:pStyle w:val="Sommariodefinitivo"/>
        <w:rPr>
          <w:color w:val="auto"/>
          <w:lang w:val="it-IT"/>
        </w:rPr>
      </w:pPr>
      <w:r>
        <w:rPr>
          <w:color w:val="auto"/>
          <w:lang w:val="it-IT"/>
        </w:rPr>
        <w:t xml:space="preserve">Facendo seguito alle modifiche già effettuate in precedenza e che hanno riguardato le variazioni alle modalità di realizzazione e compilazione delle attestazioni di spesa da parte dei singoli RAP (vedasi Release note </w:t>
      </w:r>
      <w:r w:rsidR="00211A7A">
        <w:rPr>
          <w:color w:val="auto"/>
          <w:lang w:val="it-IT"/>
        </w:rPr>
        <w:t xml:space="preserve">n.1 </w:t>
      </w:r>
      <w:r>
        <w:rPr>
          <w:color w:val="auto"/>
          <w:lang w:val="it-IT"/>
        </w:rPr>
        <w:t>del 31.12.2018) si è provveduto a realizzare u</w:t>
      </w:r>
      <w:r w:rsidR="003A4F0C" w:rsidRPr="003A4F0C">
        <w:rPr>
          <w:color w:val="auto"/>
          <w:lang w:val="it-IT"/>
        </w:rPr>
        <w:t xml:space="preserve">na sezione per le attestazioni di spesa, che partendo dalla dashboard del programma visualizzi (con gli appositi dettagli) le attestazioni di spesa create dai RAP. Tali attestazioni di spesa </w:t>
      </w:r>
      <w:r w:rsidR="00211A7A">
        <w:rPr>
          <w:color w:val="auto"/>
          <w:lang w:val="it-IT"/>
        </w:rPr>
        <w:t>sono</w:t>
      </w:r>
      <w:r w:rsidR="003A4F0C" w:rsidRPr="003A4F0C">
        <w:rPr>
          <w:color w:val="auto"/>
          <w:lang w:val="it-IT"/>
        </w:rPr>
        <w:t xml:space="preserve"> filtrate per ufficio responsabile. </w:t>
      </w:r>
      <w:r>
        <w:rPr>
          <w:color w:val="auto"/>
          <w:lang w:val="it-IT"/>
        </w:rPr>
        <w:t xml:space="preserve">L’utente </w:t>
      </w:r>
      <w:r w:rsidR="003A4F0C" w:rsidRPr="003A4F0C">
        <w:rPr>
          <w:color w:val="auto"/>
          <w:lang w:val="it-IT"/>
        </w:rPr>
        <w:t xml:space="preserve">ADP </w:t>
      </w:r>
      <w:r w:rsidR="00211A7A">
        <w:rPr>
          <w:color w:val="auto"/>
          <w:lang w:val="it-IT"/>
        </w:rPr>
        <w:t xml:space="preserve">può </w:t>
      </w:r>
      <w:r w:rsidR="003A4F0C" w:rsidRPr="003A4F0C">
        <w:rPr>
          <w:color w:val="auto"/>
          <w:lang w:val="it-IT"/>
        </w:rPr>
        <w:t>solo visualizzare tali attestazioni di spesa (ed i</w:t>
      </w:r>
      <w:r>
        <w:rPr>
          <w:color w:val="auto"/>
          <w:lang w:val="it-IT"/>
        </w:rPr>
        <w:t xml:space="preserve"> </w:t>
      </w:r>
      <w:r w:rsidR="003A4F0C" w:rsidRPr="003A4F0C">
        <w:rPr>
          <w:color w:val="auto"/>
          <w:lang w:val="it-IT"/>
        </w:rPr>
        <w:t>report inerenti ad esse) senza effettuare alcuna azione di creazione, modifica o cancellazione</w:t>
      </w:r>
      <w:r w:rsidR="00211A7A">
        <w:rPr>
          <w:color w:val="auto"/>
          <w:lang w:val="it-IT"/>
        </w:rPr>
        <w:t>.</w:t>
      </w:r>
    </w:p>
    <w:p w:rsidR="00BB0E5E" w:rsidRDefault="00BB0E5E" w:rsidP="00BB0E5E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>
        <w:rPr>
          <w:i/>
          <w:color w:val="auto"/>
          <w:lang w:val="it-IT"/>
        </w:rPr>
        <w:t>Adeguamento l</w:t>
      </w:r>
      <w:r w:rsidRPr="00AE6017">
        <w:rPr>
          <w:i/>
          <w:color w:val="auto"/>
          <w:lang w:val="it-IT"/>
        </w:rPr>
        <w:t>ink per CD dati fatture progetto BUL</w:t>
      </w:r>
    </w:p>
    <w:p w:rsidR="00BB0E5E" w:rsidRPr="007013B2" w:rsidRDefault="00BB0E5E" w:rsidP="00BB0E5E">
      <w:pPr>
        <w:pStyle w:val="Sommariodefinitivo"/>
        <w:rPr>
          <w:color w:val="auto"/>
          <w:lang w:val="it-IT"/>
        </w:rPr>
      </w:pPr>
      <w:r>
        <w:rPr>
          <w:color w:val="auto"/>
          <w:lang w:val="it-IT"/>
        </w:rPr>
        <w:t>Si è provveduto ad effettuare l</w:t>
      </w:r>
      <w:r w:rsidRPr="007013B2">
        <w:rPr>
          <w:color w:val="auto"/>
          <w:lang w:val="it-IT"/>
        </w:rPr>
        <w:t xml:space="preserve">'aggiornamento del link già realizzato </w:t>
      </w:r>
      <w:r>
        <w:rPr>
          <w:color w:val="auto"/>
          <w:lang w:val="it-IT"/>
        </w:rPr>
        <w:t>in precedenza (vedasi Release note n.1 del 31.12.2018) al fine di</w:t>
      </w:r>
      <w:r w:rsidRPr="007013B2">
        <w:rPr>
          <w:color w:val="auto"/>
          <w:lang w:val="it-IT"/>
        </w:rPr>
        <w:t xml:space="preserve"> consentire la visualizzazione di</w:t>
      </w:r>
      <w:r>
        <w:rPr>
          <w:color w:val="auto"/>
          <w:lang w:val="it-IT"/>
        </w:rPr>
        <w:t xml:space="preserve"> tutti i</w:t>
      </w:r>
      <w:r w:rsidRPr="007013B2">
        <w:rPr>
          <w:color w:val="auto"/>
          <w:lang w:val="it-IT"/>
        </w:rPr>
        <w:t xml:space="preserve"> dati (</w:t>
      </w:r>
      <w:r>
        <w:rPr>
          <w:color w:val="auto"/>
          <w:lang w:val="it-IT"/>
        </w:rPr>
        <w:t xml:space="preserve">ovvero </w:t>
      </w:r>
      <w:r w:rsidRPr="007013B2">
        <w:rPr>
          <w:color w:val="auto"/>
          <w:lang w:val="it-IT"/>
        </w:rPr>
        <w:t>fatture</w:t>
      </w:r>
      <w:r>
        <w:rPr>
          <w:color w:val="auto"/>
          <w:lang w:val="it-IT"/>
        </w:rPr>
        <w:t xml:space="preserve"> e informazioni di natura finanziaria</w:t>
      </w:r>
      <w:r w:rsidRPr="007013B2">
        <w:rPr>
          <w:color w:val="auto"/>
          <w:lang w:val="it-IT"/>
        </w:rPr>
        <w:t xml:space="preserve">) presenti in un CD-ROM. </w:t>
      </w:r>
      <w:r>
        <w:rPr>
          <w:color w:val="auto"/>
          <w:lang w:val="it-IT"/>
        </w:rPr>
        <w:t>Prima di tale azione, si era provveduto ad una bonifica dei dati che aveva avuto come risultato il rid</w:t>
      </w:r>
      <w:r w:rsidRPr="007013B2">
        <w:rPr>
          <w:color w:val="auto"/>
          <w:lang w:val="it-IT"/>
        </w:rPr>
        <w:t xml:space="preserve">imensionamento </w:t>
      </w:r>
      <w:r>
        <w:rPr>
          <w:color w:val="auto"/>
          <w:lang w:val="it-IT"/>
        </w:rPr>
        <w:t xml:space="preserve">a circa </w:t>
      </w:r>
      <w:r w:rsidRPr="007013B2">
        <w:rPr>
          <w:color w:val="auto"/>
          <w:lang w:val="it-IT"/>
        </w:rPr>
        <w:t xml:space="preserve">1GB. </w:t>
      </w:r>
      <w:r>
        <w:rPr>
          <w:color w:val="auto"/>
          <w:lang w:val="it-IT"/>
        </w:rPr>
        <w:t xml:space="preserve">Sono stati ora </w:t>
      </w:r>
      <w:r w:rsidRPr="007013B2">
        <w:rPr>
          <w:color w:val="auto"/>
          <w:lang w:val="it-IT"/>
        </w:rPr>
        <w:t>inseriti tutti i dati</w:t>
      </w:r>
      <w:r>
        <w:rPr>
          <w:color w:val="auto"/>
          <w:lang w:val="it-IT"/>
        </w:rPr>
        <w:t xml:space="preserve"> presenti sul CD.</w:t>
      </w:r>
    </w:p>
    <w:p w:rsidR="004B3485" w:rsidRPr="00A33AFC" w:rsidRDefault="004B3485" w:rsidP="00A33AFC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Documentazione</w:t>
      </w:r>
    </w:p>
    <w:p w:rsidR="00E53B63" w:rsidRPr="003A4F0C" w:rsidRDefault="00E53B63" w:rsidP="00E53B63">
      <w:pPr>
        <w:pStyle w:val="Sommariodefinitivo"/>
        <w:numPr>
          <w:ilvl w:val="0"/>
          <w:numId w:val="14"/>
        </w:numPr>
        <w:ind w:hanging="1080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3_2_1_Fattura elettronica_AN_vers. 1.0;</w:t>
      </w:r>
    </w:p>
    <w:p w:rsidR="00E53B63" w:rsidRPr="003A4F0C" w:rsidRDefault="00E53B63" w:rsidP="00E53B63">
      <w:pPr>
        <w:pStyle w:val="Sommariodefinitivo"/>
        <w:numPr>
          <w:ilvl w:val="0"/>
          <w:numId w:val="14"/>
        </w:numPr>
        <w:ind w:hanging="1080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3_2_1_AN_Modifica  funzionalità ADS_vers. 1.0;</w:t>
      </w:r>
    </w:p>
    <w:p w:rsidR="00E53B63" w:rsidRPr="003A4F0C" w:rsidRDefault="00E53B63" w:rsidP="00E53B63">
      <w:pPr>
        <w:pStyle w:val="Sommariodefinitivo"/>
        <w:numPr>
          <w:ilvl w:val="0"/>
          <w:numId w:val="14"/>
        </w:numPr>
        <w:ind w:hanging="1080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3_2_1_2</w:t>
      </w:r>
      <w:r w:rsidR="006375DE">
        <w:rPr>
          <w:i/>
          <w:color w:val="auto"/>
          <w:lang w:val="it-IT"/>
        </w:rPr>
        <w:t>_</w:t>
      </w:r>
      <w:r w:rsidRPr="003A4F0C">
        <w:rPr>
          <w:i/>
          <w:color w:val="auto"/>
          <w:lang w:val="it-IT"/>
        </w:rPr>
        <w:t>AN</w:t>
      </w:r>
      <w:r w:rsidR="00607BA5">
        <w:rPr>
          <w:i/>
          <w:color w:val="auto"/>
          <w:lang w:val="it-IT"/>
        </w:rPr>
        <w:t>_</w:t>
      </w:r>
      <w:r w:rsidRPr="003A4F0C">
        <w:rPr>
          <w:i/>
          <w:color w:val="auto"/>
          <w:lang w:val="it-IT"/>
        </w:rPr>
        <w:t xml:space="preserve">Addendum PUC vers. 1.0 _2019 - Documento di analisi su Addendum PUC </w:t>
      </w:r>
    </w:p>
    <w:p w:rsidR="00E53B63" w:rsidRPr="003A4F0C" w:rsidRDefault="00E53B63" w:rsidP="00286EED">
      <w:pPr>
        <w:pStyle w:val="Sommariodefinitivo"/>
        <w:numPr>
          <w:ilvl w:val="0"/>
          <w:numId w:val="14"/>
        </w:numPr>
        <w:ind w:left="567" w:hanging="567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3_2_1_3</w:t>
      </w:r>
      <w:r w:rsidR="006375DE">
        <w:rPr>
          <w:i/>
          <w:color w:val="auto"/>
          <w:lang w:val="it-IT"/>
        </w:rPr>
        <w:t>_</w:t>
      </w:r>
      <w:r w:rsidRPr="003A4F0C">
        <w:rPr>
          <w:i/>
          <w:color w:val="auto"/>
          <w:lang w:val="it-IT"/>
        </w:rPr>
        <w:t>AN</w:t>
      </w:r>
      <w:r w:rsidR="00607BA5">
        <w:rPr>
          <w:i/>
          <w:color w:val="auto"/>
          <w:lang w:val="it-IT"/>
        </w:rPr>
        <w:t>_</w:t>
      </w:r>
      <w:r w:rsidRPr="003A4F0C">
        <w:rPr>
          <w:i/>
          <w:color w:val="auto"/>
          <w:lang w:val="it-IT"/>
        </w:rPr>
        <w:t xml:space="preserve">Gestione progetti per S3 e SNAI e PF_ vers.2.0_2019 -  Documento di analisi suGestione progetti per S3 e SNAI e PF </w:t>
      </w:r>
    </w:p>
    <w:p w:rsidR="00E53B63" w:rsidRPr="003A4F0C" w:rsidRDefault="00E53B63" w:rsidP="00E53B63">
      <w:pPr>
        <w:pStyle w:val="Sommariodefinitivo"/>
        <w:numPr>
          <w:ilvl w:val="0"/>
          <w:numId w:val="14"/>
        </w:numPr>
        <w:ind w:hanging="1080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3_2_1_4</w:t>
      </w:r>
      <w:r w:rsidR="006375DE">
        <w:rPr>
          <w:i/>
          <w:color w:val="auto"/>
          <w:lang w:val="it-IT"/>
        </w:rPr>
        <w:t>_</w:t>
      </w:r>
      <w:r w:rsidRPr="003A4F0C">
        <w:rPr>
          <w:i/>
          <w:color w:val="auto"/>
          <w:lang w:val="it-IT"/>
        </w:rPr>
        <w:t>AN</w:t>
      </w:r>
      <w:r w:rsidR="00607BA5">
        <w:rPr>
          <w:i/>
          <w:color w:val="auto"/>
          <w:lang w:val="it-IT"/>
        </w:rPr>
        <w:t>_</w:t>
      </w:r>
      <w:r w:rsidRPr="003A4F0C">
        <w:rPr>
          <w:i/>
          <w:color w:val="auto"/>
          <w:lang w:val="it-IT"/>
        </w:rPr>
        <w:t>Nota metodologica per gestione progetti S3 e SNAI e PF vers.1.0_2019</w:t>
      </w:r>
    </w:p>
    <w:p w:rsidR="00E53B63" w:rsidRPr="003A4F0C" w:rsidRDefault="00E53B63" w:rsidP="00286EED">
      <w:pPr>
        <w:pStyle w:val="Sommariodefinitivo"/>
        <w:numPr>
          <w:ilvl w:val="0"/>
          <w:numId w:val="14"/>
        </w:numPr>
        <w:ind w:left="567" w:hanging="567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3_2_1_5</w:t>
      </w:r>
      <w:r w:rsidR="006375DE">
        <w:rPr>
          <w:i/>
          <w:color w:val="auto"/>
          <w:lang w:val="it-IT"/>
        </w:rPr>
        <w:t>_</w:t>
      </w:r>
      <w:r w:rsidRPr="003A4F0C">
        <w:rPr>
          <w:i/>
          <w:color w:val="auto"/>
          <w:lang w:val="it-IT"/>
        </w:rPr>
        <w:t>AN</w:t>
      </w:r>
      <w:r w:rsidR="00607BA5">
        <w:rPr>
          <w:i/>
          <w:color w:val="auto"/>
          <w:lang w:val="it-IT"/>
        </w:rPr>
        <w:t>_</w:t>
      </w:r>
      <w:r w:rsidRPr="003A4F0C">
        <w:rPr>
          <w:i/>
          <w:color w:val="auto"/>
          <w:lang w:val="it-IT"/>
        </w:rPr>
        <w:t xml:space="preserve">Interoperabilità SIPARS-CARONTE vers.1.0_2019 – Documento di analisi su Interoperabilità SIPARS-CARONTE </w:t>
      </w:r>
    </w:p>
    <w:p w:rsidR="00E53B63" w:rsidRPr="003A4F0C" w:rsidRDefault="00E53B63" w:rsidP="00E53B63">
      <w:pPr>
        <w:pStyle w:val="Sommariodefinitivo"/>
        <w:numPr>
          <w:ilvl w:val="0"/>
          <w:numId w:val="14"/>
        </w:numPr>
        <w:ind w:hanging="1080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3_2_1_6</w:t>
      </w:r>
      <w:r w:rsidR="006375DE">
        <w:rPr>
          <w:i/>
          <w:color w:val="auto"/>
          <w:lang w:val="it-IT"/>
        </w:rPr>
        <w:t>_</w:t>
      </w:r>
      <w:r w:rsidRPr="003A4F0C">
        <w:rPr>
          <w:i/>
          <w:color w:val="auto"/>
          <w:lang w:val="it-IT"/>
        </w:rPr>
        <w:t>AN_Certificazione_vers.1.0_2019 - Documento di analisi su funzionalità Certificazione</w:t>
      </w:r>
    </w:p>
    <w:p w:rsidR="00E53B63" w:rsidRPr="003A4F0C" w:rsidRDefault="00E53B63" w:rsidP="00E53B63">
      <w:pPr>
        <w:pStyle w:val="Sommariodefinitivo"/>
        <w:numPr>
          <w:ilvl w:val="0"/>
          <w:numId w:val="14"/>
        </w:numPr>
        <w:ind w:hanging="1080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3_2_1_7_AN_Manuale estrazione lista inadempienti</w:t>
      </w:r>
      <w:r w:rsidR="001743B1">
        <w:rPr>
          <w:i/>
          <w:color w:val="auto"/>
          <w:lang w:val="it-IT"/>
        </w:rPr>
        <w:t xml:space="preserve"> vers.1.0_2019</w:t>
      </w:r>
    </w:p>
    <w:p w:rsidR="004B3485" w:rsidRPr="004B3485" w:rsidRDefault="004B3485" w:rsidP="00DE3FA8">
      <w:pPr>
        <w:pStyle w:val="Sommariodefinitivo"/>
        <w:rPr>
          <w:color w:val="auto"/>
          <w:lang w:val="it-IT"/>
        </w:rPr>
      </w:pPr>
    </w:p>
    <w:p w:rsidR="00DE3FA8" w:rsidRDefault="004B3485" w:rsidP="00A33AFC">
      <w:pPr>
        <w:pStyle w:val="Sommariodefinitivo"/>
        <w:numPr>
          <w:ilvl w:val="0"/>
          <w:numId w:val="12"/>
        </w:numPr>
        <w:rPr>
          <w:b/>
          <w:color w:val="auto"/>
          <w:lang w:val="it-IT"/>
        </w:rPr>
      </w:pPr>
      <w:r w:rsidRPr="004B3485">
        <w:rPr>
          <w:b/>
          <w:color w:val="auto"/>
          <w:lang w:val="it-IT"/>
        </w:rPr>
        <w:t>Reportistica</w:t>
      </w:r>
    </w:p>
    <w:p w:rsidR="004B3485" w:rsidRPr="003A4F0C" w:rsidRDefault="004B3485" w:rsidP="00A33AFC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Adeguamento report n.2</w:t>
      </w:r>
      <w:r w:rsidR="00E53B63" w:rsidRPr="003A4F0C">
        <w:rPr>
          <w:i/>
          <w:color w:val="auto"/>
          <w:lang w:val="it-IT"/>
        </w:rPr>
        <w:t>1</w:t>
      </w:r>
      <w:r w:rsidR="00A30B06" w:rsidRPr="003A4F0C">
        <w:rPr>
          <w:i/>
          <w:color w:val="auto"/>
          <w:lang w:val="it-IT"/>
        </w:rPr>
        <w:t xml:space="preserve"> – Elenco progetti che non gestiscono le scadenze di monitoraggio;</w:t>
      </w:r>
    </w:p>
    <w:p w:rsidR="004B3485" w:rsidRPr="003A4F0C" w:rsidRDefault="00E53B63" w:rsidP="00A33AFC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>Realizzazione nuovo r</w:t>
      </w:r>
      <w:r w:rsidR="004B3485" w:rsidRPr="003A4F0C">
        <w:rPr>
          <w:i/>
          <w:color w:val="auto"/>
          <w:lang w:val="it-IT"/>
        </w:rPr>
        <w:t>eport n.21</w:t>
      </w:r>
      <w:r w:rsidRPr="003A4F0C">
        <w:rPr>
          <w:i/>
          <w:color w:val="auto"/>
          <w:lang w:val="it-IT"/>
        </w:rPr>
        <w:t xml:space="preserve"> bis</w:t>
      </w:r>
      <w:r w:rsidR="004B3485" w:rsidRPr="003A4F0C">
        <w:rPr>
          <w:i/>
          <w:color w:val="auto"/>
          <w:lang w:val="it-IT"/>
        </w:rPr>
        <w:t xml:space="preserve"> Elenco inadempienti</w:t>
      </w:r>
      <w:r w:rsidR="00A30B06" w:rsidRPr="003A4F0C">
        <w:rPr>
          <w:i/>
          <w:color w:val="auto"/>
          <w:lang w:val="it-IT"/>
        </w:rPr>
        <w:t>;</w:t>
      </w:r>
    </w:p>
    <w:p w:rsidR="00A30B06" w:rsidRPr="003A4F0C" w:rsidRDefault="00E53B63" w:rsidP="00A30B06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 xml:space="preserve">Adeguamento </w:t>
      </w:r>
      <w:r w:rsidR="004B3485" w:rsidRPr="003A4F0C">
        <w:rPr>
          <w:i/>
          <w:color w:val="auto"/>
          <w:lang w:val="it-IT"/>
        </w:rPr>
        <w:t>Report 49</w:t>
      </w:r>
      <w:r w:rsidR="00A30B06" w:rsidRPr="003A4F0C">
        <w:rPr>
          <w:i/>
          <w:color w:val="auto"/>
          <w:lang w:val="it-IT"/>
        </w:rPr>
        <w:t xml:space="preserve"> – Stato Validazioni;</w:t>
      </w:r>
    </w:p>
    <w:p w:rsidR="00E53B63" w:rsidRPr="003A4F0C" w:rsidRDefault="004B3485" w:rsidP="00E53B63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lastRenderedPageBreak/>
        <w:t xml:space="preserve">Adeguamento report </w:t>
      </w:r>
      <w:r w:rsidR="00A950EF" w:rsidRPr="003A4F0C">
        <w:rPr>
          <w:i/>
          <w:color w:val="auto"/>
          <w:lang w:val="it-IT"/>
        </w:rPr>
        <w:t xml:space="preserve">n.37 </w:t>
      </w:r>
      <w:r w:rsidRPr="003A4F0C">
        <w:rPr>
          <w:i/>
          <w:color w:val="auto"/>
          <w:lang w:val="it-IT"/>
        </w:rPr>
        <w:t>Cds_</w:t>
      </w:r>
      <w:r w:rsidR="00A30B06" w:rsidRPr="003A4F0C">
        <w:rPr>
          <w:i/>
          <w:color w:val="auto"/>
          <w:lang w:val="it-IT"/>
        </w:rPr>
        <w:t>2</w:t>
      </w:r>
    </w:p>
    <w:sectPr w:rsidR="00E53B63" w:rsidRPr="003A4F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5094D4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5178"/>
    <w:multiLevelType w:val="hybridMultilevel"/>
    <w:tmpl w:val="02ACF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2095C"/>
    <w:multiLevelType w:val="hybridMultilevel"/>
    <w:tmpl w:val="A0601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121E31"/>
    <w:rsid w:val="001743B1"/>
    <w:rsid w:val="00211A7A"/>
    <w:rsid w:val="00286EED"/>
    <w:rsid w:val="0033397A"/>
    <w:rsid w:val="00383A73"/>
    <w:rsid w:val="003A4F0C"/>
    <w:rsid w:val="003B0AD0"/>
    <w:rsid w:val="003E35D6"/>
    <w:rsid w:val="004B3485"/>
    <w:rsid w:val="00540603"/>
    <w:rsid w:val="00583B0E"/>
    <w:rsid w:val="00607BA5"/>
    <w:rsid w:val="00623C02"/>
    <w:rsid w:val="006375DE"/>
    <w:rsid w:val="00673CF7"/>
    <w:rsid w:val="007013B2"/>
    <w:rsid w:val="00956D37"/>
    <w:rsid w:val="0097196D"/>
    <w:rsid w:val="00A30B06"/>
    <w:rsid w:val="00A33AFC"/>
    <w:rsid w:val="00A950EF"/>
    <w:rsid w:val="00BB0E5E"/>
    <w:rsid w:val="00DB3D38"/>
    <w:rsid w:val="00DE3FA8"/>
    <w:rsid w:val="00E53B63"/>
    <w:rsid w:val="00E75698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9CC5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Consulenza [1]</cp:lastModifiedBy>
  <cp:revision>26</cp:revision>
  <dcterms:created xsi:type="dcterms:W3CDTF">2019-01-17T16:32:00Z</dcterms:created>
  <dcterms:modified xsi:type="dcterms:W3CDTF">2019-02-15T16:54:00Z</dcterms:modified>
</cp:coreProperties>
</file>