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E3FA8" w:rsidRPr="00BB5902" w14:paraId="07957771" w14:textId="77777777" w:rsidTr="00DE3FA8">
        <w:tc>
          <w:tcPr>
            <w:tcW w:w="9778" w:type="dxa"/>
            <w:shd w:val="clear" w:color="auto" w:fill="auto"/>
          </w:tcPr>
          <w:p w14:paraId="352D99CE" w14:textId="0DB6BD6A" w:rsidR="00DE3FA8" w:rsidRPr="00BB5902" w:rsidRDefault="00DE3FA8" w:rsidP="005347D3">
            <w:pPr>
              <w:pStyle w:val="Sommariodefinitivo"/>
              <w:rPr>
                <w:b/>
                <w:sz w:val="32"/>
                <w:lang w:val="it-IT"/>
              </w:rPr>
            </w:pPr>
            <w:r w:rsidRPr="00BB5902">
              <w:rPr>
                <w:b/>
                <w:sz w:val="32"/>
                <w:lang w:val="it-IT"/>
              </w:rPr>
              <w:t xml:space="preserve">Release note </w:t>
            </w:r>
            <w:r w:rsidR="004B3485">
              <w:rPr>
                <w:b/>
                <w:sz w:val="32"/>
                <w:lang w:val="it-IT"/>
              </w:rPr>
              <w:t>n.</w:t>
            </w:r>
            <w:r w:rsidR="00DA6B08">
              <w:rPr>
                <w:b/>
                <w:sz w:val="32"/>
                <w:lang w:val="it-IT"/>
              </w:rPr>
              <w:t>1</w:t>
            </w:r>
            <w:r w:rsidR="009763DE">
              <w:rPr>
                <w:b/>
                <w:sz w:val="32"/>
                <w:lang w:val="it-IT"/>
              </w:rPr>
              <w:t>2</w:t>
            </w:r>
            <w:r w:rsidR="001E12C6">
              <w:rPr>
                <w:b/>
                <w:sz w:val="32"/>
                <w:lang w:val="it-IT"/>
              </w:rPr>
              <w:t xml:space="preserve"> </w:t>
            </w:r>
            <w:r w:rsidR="00D85DB8">
              <w:rPr>
                <w:b/>
                <w:sz w:val="32"/>
                <w:lang w:val="it-IT"/>
              </w:rPr>
              <w:t>del</w:t>
            </w:r>
            <w:r w:rsidR="006003BC">
              <w:rPr>
                <w:b/>
                <w:sz w:val="32"/>
                <w:lang w:val="it-IT"/>
              </w:rPr>
              <w:t xml:space="preserve"> </w:t>
            </w:r>
            <w:r w:rsidR="00CA04B4">
              <w:rPr>
                <w:b/>
                <w:sz w:val="32"/>
                <w:lang w:val="it-IT"/>
              </w:rPr>
              <w:t>13/03</w:t>
            </w:r>
            <w:r w:rsidR="00225575">
              <w:rPr>
                <w:b/>
                <w:sz w:val="32"/>
                <w:lang w:val="it-IT"/>
              </w:rPr>
              <w:t>/</w:t>
            </w:r>
            <w:r w:rsidR="00D85DB8">
              <w:rPr>
                <w:b/>
                <w:sz w:val="32"/>
                <w:lang w:val="it-IT"/>
              </w:rPr>
              <w:t>20</w:t>
            </w:r>
            <w:r w:rsidR="00E51C73">
              <w:rPr>
                <w:b/>
                <w:sz w:val="32"/>
                <w:lang w:val="it-IT"/>
              </w:rPr>
              <w:t>20</w:t>
            </w:r>
          </w:p>
          <w:p w14:paraId="31724E80" w14:textId="77777777" w:rsidR="004B3485" w:rsidRDefault="004B3485" w:rsidP="005347D3">
            <w:pPr>
              <w:pStyle w:val="Sommariodefinitivo"/>
              <w:rPr>
                <w:b/>
                <w:lang w:val="it-IT"/>
              </w:rPr>
            </w:pPr>
          </w:p>
          <w:p w14:paraId="093A561A" w14:textId="77777777" w:rsidR="00DE3FA8" w:rsidRPr="00BB5902" w:rsidRDefault="00DE3FA8" w:rsidP="005347D3">
            <w:pPr>
              <w:pStyle w:val="Sommariodefinitivo"/>
              <w:rPr>
                <w:b/>
                <w:lang w:val="it-IT"/>
              </w:rPr>
            </w:pPr>
            <w:r w:rsidRPr="00BB5902">
              <w:rPr>
                <w:b/>
                <w:lang w:val="it-IT"/>
              </w:rPr>
              <w:t>Denominazione digitale del documento:</w:t>
            </w:r>
          </w:p>
          <w:p w14:paraId="1E05CF81" w14:textId="07099756" w:rsidR="00DE3FA8" w:rsidRPr="00BB5902" w:rsidRDefault="003B0AD0" w:rsidP="005347D3">
            <w:pPr>
              <w:pStyle w:val="Sommariodefinitivo"/>
              <w:rPr>
                <w:sz w:val="32"/>
                <w:lang w:val="it-IT"/>
              </w:rPr>
            </w:pPr>
            <w:bookmarkStart w:id="0" w:name="_Hlk1040380"/>
            <w:r>
              <w:rPr>
                <w:sz w:val="32"/>
                <w:lang w:val="it-IT"/>
              </w:rPr>
              <w:t>3_2_4_</w:t>
            </w:r>
            <w:r w:rsidR="00DA6B08">
              <w:rPr>
                <w:sz w:val="32"/>
                <w:lang w:val="it-IT"/>
              </w:rPr>
              <w:t>1</w:t>
            </w:r>
            <w:r w:rsidR="00F42D50">
              <w:rPr>
                <w:sz w:val="32"/>
                <w:lang w:val="it-IT"/>
              </w:rPr>
              <w:t>2</w:t>
            </w:r>
            <w:r w:rsidR="00225575">
              <w:rPr>
                <w:sz w:val="32"/>
                <w:lang w:val="it-IT"/>
              </w:rPr>
              <w:t>_</w:t>
            </w:r>
            <w:r w:rsidR="00DE3FA8" w:rsidRPr="00BB5902">
              <w:rPr>
                <w:sz w:val="32"/>
                <w:lang w:val="it-IT"/>
              </w:rPr>
              <w:t xml:space="preserve">RN_ </w:t>
            </w:r>
            <w:bookmarkEnd w:id="0"/>
            <w:r w:rsidR="00DE3FA8">
              <w:rPr>
                <w:sz w:val="32"/>
                <w:lang w:val="it-IT"/>
              </w:rPr>
              <w:t xml:space="preserve">Release note al </w:t>
            </w:r>
            <w:r w:rsidR="004A350D">
              <w:rPr>
                <w:sz w:val="32"/>
                <w:lang w:val="it-IT"/>
              </w:rPr>
              <w:t>1</w:t>
            </w:r>
            <w:r w:rsidR="00CA04B4">
              <w:rPr>
                <w:sz w:val="32"/>
                <w:lang w:val="it-IT"/>
              </w:rPr>
              <w:t>3/</w:t>
            </w:r>
            <w:r w:rsidR="004A350D">
              <w:rPr>
                <w:sz w:val="32"/>
                <w:lang w:val="it-IT"/>
              </w:rPr>
              <w:t>03</w:t>
            </w:r>
            <w:r w:rsidR="00CA04B4">
              <w:rPr>
                <w:sz w:val="32"/>
                <w:lang w:val="it-IT"/>
              </w:rPr>
              <w:t>/</w:t>
            </w:r>
            <w:r w:rsidR="00DE3FA8">
              <w:rPr>
                <w:sz w:val="32"/>
                <w:lang w:val="it-IT"/>
              </w:rPr>
              <w:t>20</w:t>
            </w:r>
            <w:r w:rsidR="00E51C73">
              <w:rPr>
                <w:sz w:val="32"/>
                <w:lang w:val="it-IT"/>
              </w:rPr>
              <w:t>20</w:t>
            </w:r>
            <w:r w:rsidR="00DE3FA8" w:rsidRPr="00BB5902">
              <w:rPr>
                <w:sz w:val="32"/>
                <w:lang w:val="it-IT"/>
              </w:rPr>
              <w:t>_</w:t>
            </w:r>
            <w:r w:rsidR="00003644">
              <w:rPr>
                <w:sz w:val="32"/>
                <w:lang w:val="it-IT"/>
              </w:rPr>
              <w:t>vers.1.0</w:t>
            </w:r>
          </w:p>
          <w:p w14:paraId="5FF65A35" w14:textId="77777777" w:rsidR="00DE3FA8" w:rsidRPr="00BB5902" w:rsidRDefault="00DE3FA8" w:rsidP="005347D3">
            <w:pPr>
              <w:pStyle w:val="Sommariodefinitivo"/>
              <w:rPr>
                <w:sz w:val="32"/>
                <w:lang w:val="it-IT"/>
              </w:rPr>
            </w:pPr>
          </w:p>
          <w:p w14:paraId="08EF9500" w14:textId="05415FEE" w:rsidR="00DE3FA8" w:rsidRPr="00BB5902" w:rsidRDefault="00DE3FA8" w:rsidP="005347D3">
            <w:pPr>
              <w:pStyle w:val="Sommariodefinitivo"/>
              <w:rPr>
                <w:lang w:val="it-IT"/>
              </w:rPr>
            </w:pPr>
            <w:r w:rsidRPr="00BB5902">
              <w:rPr>
                <w:b/>
                <w:lang w:val="it-IT"/>
              </w:rPr>
              <w:t>D</w:t>
            </w:r>
            <w:r w:rsidRPr="00BB5902">
              <w:rPr>
                <w:b/>
              </w:rPr>
              <w:t>ata rilascio</w:t>
            </w:r>
            <w:r w:rsidRPr="00BB5902">
              <w:rPr>
                <w:b/>
                <w:lang w:val="it-IT"/>
              </w:rPr>
              <w:t xml:space="preserve"> documento</w:t>
            </w:r>
            <w:r w:rsidRPr="00BB5902">
              <w:rPr>
                <w:b/>
              </w:rPr>
              <w:t>:</w:t>
            </w:r>
            <w:r w:rsidRPr="00BB5902">
              <w:t xml:space="preserve"> </w:t>
            </w:r>
            <w:r w:rsidR="00CA04B4">
              <w:rPr>
                <w:lang w:val="it-IT"/>
              </w:rPr>
              <w:t>1</w:t>
            </w:r>
            <w:r w:rsidR="006003BC">
              <w:rPr>
                <w:lang w:val="it-IT"/>
              </w:rPr>
              <w:t>3/03</w:t>
            </w:r>
            <w:r w:rsidR="00E51C73">
              <w:rPr>
                <w:lang w:val="it-IT"/>
              </w:rPr>
              <w:t>/</w:t>
            </w:r>
            <w:r>
              <w:rPr>
                <w:lang w:val="it-IT"/>
              </w:rPr>
              <w:t>20</w:t>
            </w:r>
            <w:r w:rsidR="00E51C73">
              <w:rPr>
                <w:lang w:val="it-IT"/>
              </w:rPr>
              <w:t>20</w:t>
            </w:r>
          </w:p>
          <w:p w14:paraId="6A33CA22" w14:textId="77777777" w:rsidR="00DE3FA8" w:rsidRPr="00BB5902" w:rsidRDefault="00DE3FA8" w:rsidP="005347D3">
            <w:pPr>
              <w:pStyle w:val="Sommariodefinitivo"/>
            </w:pPr>
          </w:p>
          <w:p w14:paraId="5FDE6FD6" w14:textId="44710DAA" w:rsidR="00DE3FA8" w:rsidRPr="00BB5902" w:rsidRDefault="00DE3FA8" w:rsidP="005347D3">
            <w:pPr>
              <w:pStyle w:val="Sommariodefinitivo"/>
              <w:rPr>
                <w:lang w:val="it-IT"/>
              </w:rPr>
            </w:pPr>
            <w:r w:rsidRPr="00BB5902">
              <w:rPr>
                <w:b/>
                <w:lang w:val="it-IT"/>
              </w:rPr>
              <w:t>Rilasciata a:</w:t>
            </w:r>
            <w:r w:rsidRPr="00BB5902">
              <w:rPr>
                <w:lang w:val="it-IT"/>
              </w:rPr>
              <w:t xml:space="preserve"> </w:t>
            </w:r>
            <w:r w:rsidR="00450FCF">
              <w:rPr>
                <w:lang w:val="it-IT"/>
              </w:rPr>
              <w:t>AdG</w:t>
            </w:r>
          </w:p>
          <w:p w14:paraId="73755DC0" w14:textId="77777777" w:rsidR="00DE3FA8" w:rsidRPr="00BB5902" w:rsidRDefault="00DE3FA8" w:rsidP="005347D3">
            <w:pPr>
              <w:pStyle w:val="Sommariodefinitivo"/>
            </w:pPr>
          </w:p>
          <w:p w14:paraId="789A7600" w14:textId="77777777" w:rsidR="00DE3FA8" w:rsidRPr="00BB5902" w:rsidRDefault="00DE3FA8" w:rsidP="005347D3">
            <w:pPr>
              <w:pStyle w:val="Sommariodefinitivo"/>
            </w:pPr>
          </w:p>
          <w:tbl>
            <w:tblPr>
              <w:tblW w:w="4939" w:type="pct"/>
              <w:jc w:val="center"/>
              <w:tblBorders>
                <w:top w:val="single" w:sz="8" w:space="0" w:color="00B0F0"/>
                <w:left w:val="single" w:sz="8" w:space="0" w:color="00B0F0"/>
                <w:bottom w:val="single" w:sz="8" w:space="0" w:color="00B0F0"/>
                <w:right w:val="single" w:sz="8" w:space="0" w:color="00B0F0"/>
                <w:insideH w:val="single" w:sz="8" w:space="0" w:color="00B0F0"/>
                <w:insideV w:val="single" w:sz="8" w:space="0" w:color="00B0F0"/>
              </w:tblBorders>
              <w:tblLook w:val="04A0" w:firstRow="1" w:lastRow="0" w:firstColumn="1" w:lastColumn="0" w:noHBand="0" w:noVBand="1"/>
            </w:tblPr>
            <w:tblGrid>
              <w:gridCol w:w="1754"/>
              <w:gridCol w:w="2468"/>
              <w:gridCol w:w="2468"/>
              <w:gridCol w:w="2597"/>
            </w:tblGrid>
            <w:tr w:rsidR="00DE3FA8" w:rsidRPr="00BB5902" w14:paraId="06CE73FF" w14:textId="77777777" w:rsidTr="005347D3">
              <w:trPr>
                <w:trHeight w:val="193"/>
                <w:jc w:val="center"/>
              </w:trPr>
              <w:tc>
                <w:tcPr>
                  <w:tcW w:w="944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00B0F0"/>
                  <w:vAlign w:val="center"/>
                  <w:hideMark/>
                </w:tcPr>
                <w:p w14:paraId="58ADC387" w14:textId="77777777" w:rsidR="00DE3FA8" w:rsidRPr="00BB5902" w:rsidRDefault="00DE3FA8" w:rsidP="005347D3">
                  <w:pPr>
                    <w:tabs>
                      <w:tab w:val="left" w:pos="566"/>
                      <w:tab w:val="right" w:leader="dot" w:pos="9628"/>
                    </w:tabs>
                    <w:spacing w:before="120" w:after="120" w:line="240" w:lineRule="auto"/>
                    <w:jc w:val="center"/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</w:pPr>
                  <w:r w:rsidRPr="00BB5902"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  <w:t>Versione del documento</w:t>
                  </w:r>
                </w:p>
              </w:tc>
              <w:tc>
                <w:tcPr>
                  <w:tcW w:w="1329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00B0F0"/>
                  <w:hideMark/>
                </w:tcPr>
                <w:p w14:paraId="1D32F0AE" w14:textId="77777777" w:rsidR="00DE3FA8" w:rsidRPr="00BB5902" w:rsidRDefault="00DE3FA8" w:rsidP="005347D3">
                  <w:pPr>
                    <w:tabs>
                      <w:tab w:val="left" w:pos="566"/>
                      <w:tab w:val="right" w:leader="dot" w:pos="9628"/>
                    </w:tabs>
                    <w:spacing w:before="120" w:after="120" w:line="240" w:lineRule="auto"/>
                    <w:jc w:val="center"/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</w:pPr>
                  <w:r w:rsidRPr="00BB5902"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  <w:t>Data</w:t>
                  </w:r>
                </w:p>
              </w:tc>
              <w:tc>
                <w:tcPr>
                  <w:tcW w:w="1329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nil"/>
                  </w:tcBorders>
                  <w:shd w:val="clear" w:color="auto" w:fill="00B0F0"/>
                  <w:vAlign w:val="center"/>
                  <w:hideMark/>
                </w:tcPr>
                <w:p w14:paraId="4648067F" w14:textId="77777777" w:rsidR="00DE3FA8" w:rsidRPr="00BB5902" w:rsidRDefault="00DE3FA8" w:rsidP="005347D3">
                  <w:pPr>
                    <w:tabs>
                      <w:tab w:val="left" w:pos="566"/>
                      <w:tab w:val="right" w:leader="dot" w:pos="9628"/>
                    </w:tabs>
                    <w:spacing w:before="120" w:after="120" w:line="240" w:lineRule="auto"/>
                    <w:jc w:val="center"/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</w:pPr>
                  <w:r w:rsidRPr="00BB5902"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  <w:t>Adeguamenti</w:t>
                  </w:r>
                </w:p>
              </w:tc>
              <w:tc>
                <w:tcPr>
                  <w:tcW w:w="1398" w:type="pct"/>
                  <w:tcBorders>
                    <w:top w:val="single" w:sz="8" w:space="0" w:color="00B0F0"/>
                    <w:left w:val="nil"/>
                    <w:bottom w:val="single" w:sz="8" w:space="0" w:color="00B0F0"/>
                    <w:right w:val="single" w:sz="8" w:space="0" w:color="00B0F0"/>
                  </w:tcBorders>
                  <w:shd w:val="clear" w:color="auto" w:fill="00B0F0"/>
                  <w:vAlign w:val="center"/>
                  <w:hideMark/>
                </w:tcPr>
                <w:p w14:paraId="542E1452" w14:textId="77777777" w:rsidR="00DE3FA8" w:rsidRPr="00BB5902" w:rsidRDefault="00DE3FA8" w:rsidP="005347D3">
                  <w:pPr>
                    <w:tabs>
                      <w:tab w:val="left" w:pos="566"/>
                      <w:tab w:val="right" w:leader="dot" w:pos="9628"/>
                    </w:tabs>
                    <w:spacing w:before="120" w:after="120" w:line="240" w:lineRule="auto"/>
                    <w:jc w:val="center"/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val="x-none" w:eastAsia="x-none"/>
                    </w:rPr>
                  </w:pPr>
                  <w:r w:rsidRPr="00BB5902"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  <w:t>Note</w:t>
                  </w:r>
                </w:p>
              </w:tc>
            </w:tr>
            <w:tr w:rsidR="00DE3FA8" w:rsidRPr="00BB5902" w14:paraId="38E3409E" w14:textId="77777777" w:rsidTr="005347D3">
              <w:trPr>
                <w:trHeight w:val="883"/>
                <w:jc w:val="center"/>
              </w:trPr>
              <w:tc>
                <w:tcPr>
                  <w:tcW w:w="944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  <w:hideMark/>
                </w:tcPr>
                <w:p w14:paraId="3944A7D2" w14:textId="77777777" w:rsidR="00DE3FA8" w:rsidRPr="00BB5902" w:rsidRDefault="00DE3FA8" w:rsidP="005347D3">
                  <w:pPr>
                    <w:spacing w:after="0" w:line="240" w:lineRule="auto"/>
                    <w:jc w:val="center"/>
                    <w:rPr>
                      <w:color w:val="404040"/>
                      <w:lang w:eastAsia="it-IT"/>
                    </w:rPr>
                  </w:pPr>
                  <w:r>
                    <w:rPr>
                      <w:color w:val="404040"/>
                      <w:lang w:eastAsia="it-IT"/>
                    </w:rPr>
                    <w:t>1.0</w:t>
                  </w:r>
                </w:p>
              </w:tc>
              <w:tc>
                <w:tcPr>
                  <w:tcW w:w="1329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14:paraId="19E7073F" w14:textId="7034CFC4" w:rsidR="00DE3FA8" w:rsidRPr="00BB5902" w:rsidRDefault="00CA04B4" w:rsidP="003B0AD0">
                  <w:pPr>
                    <w:spacing w:after="0" w:line="240" w:lineRule="auto"/>
                    <w:jc w:val="center"/>
                  </w:pPr>
                  <w:r>
                    <w:t>1</w:t>
                  </w:r>
                  <w:r w:rsidR="006003BC">
                    <w:t>3/03</w:t>
                  </w:r>
                  <w:r w:rsidR="006E1BA4">
                    <w:t>/</w:t>
                  </w:r>
                  <w:r w:rsidR="00DE3FA8">
                    <w:t>20</w:t>
                  </w:r>
                  <w:r w:rsidR="00E51C73">
                    <w:t>20</w:t>
                  </w:r>
                </w:p>
              </w:tc>
              <w:tc>
                <w:tcPr>
                  <w:tcW w:w="1329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14:paraId="4F0DBB33" w14:textId="77777777" w:rsidR="00DE3FA8" w:rsidRPr="00BB5902" w:rsidRDefault="00DE3FA8" w:rsidP="005347D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398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14:paraId="5CD38006" w14:textId="77777777" w:rsidR="00DE3FA8" w:rsidRPr="00BB5902" w:rsidRDefault="00DE3FA8" w:rsidP="005347D3">
                  <w:pPr>
                    <w:jc w:val="center"/>
                  </w:pPr>
                  <w:r>
                    <w:t>Prima emissione</w:t>
                  </w:r>
                </w:p>
              </w:tc>
            </w:tr>
            <w:tr w:rsidR="00DE3FA8" w:rsidRPr="00BB5902" w14:paraId="78133908" w14:textId="77777777" w:rsidTr="005347D3">
              <w:trPr>
                <w:trHeight w:val="883"/>
                <w:jc w:val="center"/>
              </w:trPr>
              <w:tc>
                <w:tcPr>
                  <w:tcW w:w="944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14:paraId="0132D075" w14:textId="77777777" w:rsidR="00DE3FA8" w:rsidRPr="00BB5902" w:rsidRDefault="00DE3FA8" w:rsidP="005347D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329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14:paraId="1573D0EE" w14:textId="77777777" w:rsidR="00DE3FA8" w:rsidRPr="00BB5902" w:rsidRDefault="00DE3FA8" w:rsidP="005347D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329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14:paraId="1722E553" w14:textId="77777777" w:rsidR="00DE3FA8" w:rsidRPr="00BB5902" w:rsidRDefault="00DE3FA8" w:rsidP="005347D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398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14:paraId="30C45C3C" w14:textId="77777777" w:rsidR="00DE3FA8" w:rsidRPr="00BB5902" w:rsidRDefault="00DE3FA8" w:rsidP="005347D3">
                  <w:pPr>
                    <w:spacing w:after="0" w:line="240" w:lineRule="auto"/>
                    <w:jc w:val="center"/>
                  </w:pPr>
                </w:p>
              </w:tc>
            </w:tr>
          </w:tbl>
          <w:p w14:paraId="147FD830" w14:textId="77777777" w:rsidR="00DE3FA8" w:rsidRPr="00BB5902" w:rsidRDefault="00DE3FA8" w:rsidP="005347D3">
            <w:pPr>
              <w:pStyle w:val="Sommariodefinitivo"/>
            </w:pPr>
          </w:p>
        </w:tc>
      </w:tr>
    </w:tbl>
    <w:p w14:paraId="0C13E0E7" w14:textId="77777777" w:rsidR="00DE3FA8" w:rsidRDefault="00DE3FA8" w:rsidP="00DE3FA8">
      <w:pPr>
        <w:rPr>
          <w:lang w:eastAsia="it-IT"/>
        </w:rPr>
      </w:pPr>
    </w:p>
    <w:p w14:paraId="71A7AFE4" w14:textId="77777777" w:rsidR="00DE3FA8" w:rsidRDefault="00DE3FA8" w:rsidP="00DE3FA8">
      <w:pPr>
        <w:rPr>
          <w:lang w:eastAsia="it-IT"/>
        </w:rPr>
      </w:pPr>
    </w:p>
    <w:p w14:paraId="4913C3F3" w14:textId="77777777" w:rsidR="00DE3FA8" w:rsidRDefault="00DE3FA8">
      <w:pPr>
        <w:spacing w:after="160" w:line="259" w:lineRule="auto"/>
        <w:rPr>
          <w:lang w:eastAsia="it-IT"/>
        </w:rPr>
      </w:pPr>
      <w:r>
        <w:rPr>
          <w:lang w:eastAsia="it-IT"/>
        </w:rPr>
        <w:br w:type="page"/>
      </w:r>
    </w:p>
    <w:p w14:paraId="16512084" w14:textId="77777777" w:rsidR="00DE3FA8" w:rsidRDefault="00DE3FA8" w:rsidP="00DE3FA8">
      <w:pPr>
        <w:pStyle w:val="Sommariodefinitivo"/>
        <w:numPr>
          <w:ilvl w:val="0"/>
          <w:numId w:val="5"/>
        </w:numPr>
      </w:pPr>
      <w:r>
        <w:lastRenderedPageBreak/>
        <w:t>I</w:t>
      </w:r>
      <w:r w:rsidRPr="00DE3FA8">
        <w:rPr>
          <w:rStyle w:val="SommariodefinitivoCarattere"/>
          <w:lang w:eastAsia="it-IT"/>
        </w:rPr>
        <w:t>ntroduzione</w:t>
      </w:r>
    </w:p>
    <w:p w14:paraId="41591642" w14:textId="2CF8FEE8" w:rsidR="00DE3FA8" w:rsidRDefault="00DE3FA8" w:rsidP="00DE3FA8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Il presente documento riporta le evoluzioni rilasciate</w:t>
      </w:r>
      <w:r w:rsidR="0033397A">
        <w:rPr>
          <w:rFonts w:ascii="Arial Narrow" w:hAnsi="Arial Narrow"/>
        </w:rPr>
        <w:t xml:space="preserve"> </w:t>
      </w:r>
      <w:r w:rsidR="00ED1B0A">
        <w:rPr>
          <w:rFonts w:ascii="Arial Narrow" w:hAnsi="Arial Narrow"/>
        </w:rPr>
        <w:t>in ambiente di</w:t>
      </w:r>
      <w:r w:rsidR="008914F8">
        <w:rPr>
          <w:rFonts w:ascii="Arial Narrow" w:hAnsi="Arial Narrow"/>
        </w:rPr>
        <w:t xml:space="preserve"> produzione</w:t>
      </w:r>
      <w:r w:rsidR="00ED1B0A">
        <w:rPr>
          <w:rFonts w:ascii="Arial Narrow" w:hAnsi="Arial Narrow"/>
        </w:rPr>
        <w:t xml:space="preserve"> nel periodo </w:t>
      </w:r>
      <w:r w:rsidR="006003BC">
        <w:rPr>
          <w:rFonts w:ascii="Arial Narrow" w:hAnsi="Arial Narrow"/>
        </w:rPr>
        <w:t>dal 14.01.2020 al</w:t>
      </w:r>
      <w:r w:rsidR="00ED1B0A">
        <w:rPr>
          <w:rFonts w:ascii="Arial Narrow" w:hAnsi="Arial Narrow"/>
        </w:rPr>
        <w:t xml:space="preserve"> </w:t>
      </w:r>
      <w:r w:rsidR="00CA04B4">
        <w:rPr>
          <w:rFonts w:ascii="Arial Narrow" w:hAnsi="Arial Narrow"/>
        </w:rPr>
        <w:t>13/03/</w:t>
      </w:r>
      <w:r w:rsidR="00AE29E0">
        <w:rPr>
          <w:rFonts w:ascii="Arial Narrow" w:hAnsi="Arial Narrow"/>
        </w:rPr>
        <w:t>20</w:t>
      </w:r>
      <w:r w:rsidR="00E51C73">
        <w:rPr>
          <w:rFonts w:ascii="Arial Narrow" w:hAnsi="Arial Narrow"/>
        </w:rPr>
        <w:t>20</w:t>
      </w:r>
      <w:r>
        <w:rPr>
          <w:rFonts w:ascii="Arial Narrow" w:hAnsi="Arial Narrow"/>
        </w:rPr>
        <w:t xml:space="preserve"> nell’ambito delle attività di evolutiva previste</w:t>
      </w:r>
      <w:r w:rsidRPr="00DE3FA8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per l’applicativo Caronte.</w:t>
      </w:r>
    </w:p>
    <w:p w14:paraId="11B7C58F" w14:textId="377D5EB8" w:rsidR="00BB0E5E" w:rsidRDefault="00BB0E5E" w:rsidP="00DE3FA8">
      <w:pPr>
        <w:jc w:val="both"/>
        <w:rPr>
          <w:rFonts w:ascii="Arial Narrow" w:hAnsi="Arial Narrow"/>
        </w:rPr>
      </w:pPr>
      <w:bookmarkStart w:id="1" w:name="_Hlk1040592"/>
      <w:r>
        <w:rPr>
          <w:rFonts w:ascii="Arial Narrow" w:hAnsi="Arial Narrow"/>
        </w:rPr>
        <w:t>Non sono oggetto della presente nota le</w:t>
      </w:r>
      <w:r w:rsidRPr="00BB0E5E">
        <w:rPr>
          <w:rFonts w:ascii="Arial Narrow" w:hAnsi="Arial Narrow"/>
        </w:rPr>
        <w:t xml:space="preserve"> attività legate a</w:t>
      </w:r>
      <w:r w:rsidR="00673CF7">
        <w:rPr>
          <w:rFonts w:ascii="Arial Narrow" w:hAnsi="Arial Narrow"/>
        </w:rPr>
        <w:t xml:space="preserve">d attività di correttiva derivante da </w:t>
      </w:r>
      <w:r w:rsidRPr="00BB0E5E">
        <w:rPr>
          <w:rFonts w:ascii="Arial Narrow" w:hAnsi="Arial Narrow"/>
        </w:rPr>
        <w:t>segnalazioni Help desk</w:t>
      </w:r>
      <w:r w:rsidR="00673CF7">
        <w:rPr>
          <w:rFonts w:ascii="Arial Narrow" w:hAnsi="Arial Narrow"/>
        </w:rPr>
        <w:t xml:space="preserve">, le quali sono gestite in apposito documento rilasciato con cadenza mensile. </w:t>
      </w:r>
    </w:p>
    <w:p w14:paraId="5FA79647" w14:textId="77777777" w:rsidR="001E27DE" w:rsidRPr="00DE3FA8" w:rsidRDefault="001E27DE" w:rsidP="00DE3FA8">
      <w:pPr>
        <w:jc w:val="both"/>
        <w:rPr>
          <w:rFonts w:ascii="Arial Narrow" w:hAnsi="Arial Narrow"/>
        </w:rPr>
      </w:pPr>
    </w:p>
    <w:bookmarkEnd w:id="1"/>
    <w:p w14:paraId="5222C1C9" w14:textId="77777777" w:rsidR="00DE3FA8" w:rsidRDefault="004B3485" w:rsidP="00DE3FA8">
      <w:pPr>
        <w:pStyle w:val="Sommariodefinitivo"/>
        <w:numPr>
          <w:ilvl w:val="0"/>
          <w:numId w:val="5"/>
        </w:numPr>
        <w:rPr>
          <w:rStyle w:val="SommariodefinitivoCarattere"/>
        </w:rPr>
      </w:pPr>
      <w:r>
        <w:rPr>
          <w:rStyle w:val="SommariodefinitivoCarattere"/>
          <w:lang w:val="it-IT" w:eastAsia="it-IT"/>
        </w:rPr>
        <w:t>Descrizione dei rilasci</w:t>
      </w:r>
    </w:p>
    <w:p w14:paraId="51D6C1AB" w14:textId="77777777" w:rsidR="002E53BC" w:rsidRDefault="002E53BC" w:rsidP="002E53BC">
      <w:pPr>
        <w:spacing w:after="160" w:line="259" w:lineRule="auto"/>
        <w:jc w:val="both"/>
        <w:rPr>
          <w:rFonts w:ascii="Arial Narrow" w:eastAsiaTheme="minorHAnsi" w:hAnsi="Arial Narrow" w:cstheme="minorBidi"/>
          <w:color w:val="000000" w:themeColor="text1"/>
          <w:highlight w:val="yellow"/>
        </w:rPr>
      </w:pPr>
    </w:p>
    <w:p w14:paraId="4A2E3D03" w14:textId="0BFA5332" w:rsidR="00D7701D" w:rsidRPr="00D461D3" w:rsidRDefault="00D7701D" w:rsidP="00D7701D">
      <w:pPr>
        <w:pStyle w:val="Sommariodefinitivo"/>
        <w:numPr>
          <w:ilvl w:val="0"/>
          <w:numId w:val="10"/>
        </w:numPr>
        <w:rPr>
          <w:b/>
          <w:color w:val="auto"/>
          <w:sz w:val="28"/>
          <w:szCs w:val="28"/>
          <w:lang w:val="it-IT"/>
        </w:rPr>
      </w:pPr>
      <w:r w:rsidRPr="00D461D3">
        <w:rPr>
          <w:b/>
          <w:color w:val="auto"/>
          <w:sz w:val="28"/>
          <w:szCs w:val="28"/>
          <w:lang w:val="it-IT"/>
        </w:rPr>
        <w:t>Funzionalità rilasciate in produzione</w:t>
      </w:r>
    </w:p>
    <w:p w14:paraId="160398C2" w14:textId="77777777" w:rsidR="009763DE" w:rsidRDefault="009763DE" w:rsidP="00ED1B0A">
      <w:pPr>
        <w:pStyle w:val="Sommariodefinitivo"/>
        <w:rPr>
          <w:b/>
          <w:color w:val="auto"/>
          <w:lang w:val="it-IT"/>
        </w:rPr>
      </w:pPr>
    </w:p>
    <w:p w14:paraId="222DB2DF" w14:textId="7082D1CC" w:rsidR="00612B3F" w:rsidRPr="00612B3F" w:rsidRDefault="00612B3F" w:rsidP="00612B3F">
      <w:pPr>
        <w:pStyle w:val="Paragrafoelenco"/>
        <w:numPr>
          <w:ilvl w:val="0"/>
          <w:numId w:val="23"/>
        </w:numPr>
        <w:spacing w:line="240" w:lineRule="auto"/>
        <w:jc w:val="both"/>
        <w:rPr>
          <w:rFonts w:ascii="Arial Narrow" w:hAnsi="Arial Narrow"/>
        </w:rPr>
      </w:pPr>
      <w:r w:rsidRPr="00612B3F">
        <w:rPr>
          <w:rFonts w:ascii="Arial Narrow" w:hAnsi="Arial Narrow"/>
        </w:rPr>
        <w:t>Bonifica dati classificazione "Meccanismi erogazione territoriale" per progetti inclusi su azione 3.1.1. del PO FESR 14/20</w:t>
      </w:r>
      <w:r w:rsidR="00CA04B4">
        <w:rPr>
          <w:rFonts w:ascii="Arial Narrow" w:hAnsi="Arial Narrow"/>
        </w:rPr>
        <w:t xml:space="preserve"> – gennaio 2020</w:t>
      </w:r>
    </w:p>
    <w:p w14:paraId="094C65B8" w14:textId="25141FD3" w:rsidR="00D30627" w:rsidRDefault="00612B3F" w:rsidP="00612B3F">
      <w:pPr>
        <w:pStyle w:val="Sommariodefinitivo"/>
        <w:rPr>
          <w:rFonts w:eastAsia="Calibri" w:cs="Times New Roman"/>
          <w:i/>
          <w:iCs/>
          <w:noProof w:val="0"/>
          <w:color w:val="auto"/>
          <w:sz w:val="22"/>
          <w:szCs w:val="22"/>
          <w:lang w:val="it-IT" w:eastAsia="en-US"/>
        </w:rPr>
      </w:pPr>
      <w:r w:rsidRPr="00612B3F">
        <w:rPr>
          <w:rFonts w:eastAsia="Calibri" w:cs="Times New Roman"/>
          <w:i/>
          <w:iCs/>
          <w:noProof w:val="0"/>
          <w:color w:val="auto"/>
          <w:sz w:val="22"/>
          <w:szCs w:val="22"/>
          <w:lang w:val="it-IT" w:eastAsia="en-US"/>
        </w:rPr>
        <w:t>Si è provveduto ad implementare un</w:t>
      </w:r>
      <w:r>
        <w:rPr>
          <w:rFonts w:eastAsia="Calibri" w:cs="Times New Roman"/>
          <w:i/>
          <w:iCs/>
          <w:noProof w:val="0"/>
          <w:color w:val="auto"/>
          <w:sz w:val="22"/>
          <w:szCs w:val="22"/>
          <w:lang w:val="it-IT" w:eastAsia="en-US"/>
        </w:rPr>
        <w:t xml:space="preserve"> intervento p</w:t>
      </w:r>
      <w:r w:rsidRPr="00612B3F">
        <w:rPr>
          <w:rFonts w:eastAsia="Calibri" w:cs="Times New Roman"/>
          <w:i/>
          <w:iCs/>
          <w:noProof w:val="0"/>
          <w:color w:val="auto"/>
          <w:sz w:val="22"/>
          <w:szCs w:val="22"/>
          <w:lang w:val="it-IT" w:eastAsia="en-US"/>
        </w:rPr>
        <w:t xml:space="preserve">er le sole operazioni incluse sull'articolazione AZ.03.01.01 del PO FESR 2014/2020 </w:t>
      </w:r>
      <w:r>
        <w:rPr>
          <w:rFonts w:eastAsia="Calibri" w:cs="Times New Roman"/>
          <w:i/>
          <w:iCs/>
          <w:noProof w:val="0"/>
          <w:color w:val="auto"/>
          <w:sz w:val="22"/>
          <w:szCs w:val="22"/>
          <w:lang w:val="it-IT" w:eastAsia="en-US"/>
        </w:rPr>
        <w:t xml:space="preserve">ove </w:t>
      </w:r>
      <w:r w:rsidRPr="00612B3F">
        <w:rPr>
          <w:rFonts w:eastAsia="Calibri" w:cs="Times New Roman"/>
          <w:i/>
          <w:iCs/>
          <w:noProof w:val="0"/>
          <w:color w:val="auto"/>
          <w:sz w:val="22"/>
          <w:szCs w:val="22"/>
          <w:lang w:val="it-IT" w:eastAsia="en-US"/>
        </w:rPr>
        <w:t>risulta</w:t>
      </w:r>
      <w:r>
        <w:rPr>
          <w:rFonts w:eastAsia="Calibri" w:cs="Times New Roman"/>
          <w:i/>
          <w:iCs/>
          <w:noProof w:val="0"/>
          <w:color w:val="auto"/>
          <w:sz w:val="22"/>
          <w:szCs w:val="22"/>
          <w:lang w:val="it-IT" w:eastAsia="en-US"/>
        </w:rPr>
        <w:t>va</w:t>
      </w:r>
      <w:r w:rsidRPr="00612B3F">
        <w:rPr>
          <w:rFonts w:eastAsia="Calibri" w:cs="Times New Roman"/>
          <w:i/>
          <w:iCs/>
          <w:noProof w:val="0"/>
          <w:color w:val="auto"/>
          <w:sz w:val="22"/>
          <w:szCs w:val="22"/>
          <w:lang w:val="it-IT" w:eastAsia="en-US"/>
        </w:rPr>
        <w:t xml:space="preserve"> necessario procedere ad una bonifica dei dati relativi alle classificazioni "Meccanismi di erogazione territoriale" lasciando per tutti la seguente opzione (che per alcuni risulta già selezionata):</w:t>
      </w:r>
      <w:r w:rsidR="006003BC">
        <w:rPr>
          <w:rFonts w:eastAsia="Calibri" w:cs="Times New Roman"/>
          <w:i/>
          <w:iCs/>
          <w:noProof w:val="0"/>
          <w:color w:val="auto"/>
          <w:sz w:val="22"/>
          <w:szCs w:val="22"/>
          <w:lang w:val="it-IT" w:eastAsia="en-US"/>
        </w:rPr>
        <w:t xml:space="preserve"> </w:t>
      </w:r>
      <w:r w:rsidRPr="00612B3F">
        <w:rPr>
          <w:rFonts w:eastAsia="Calibri" w:cs="Times New Roman"/>
          <w:i/>
          <w:iCs/>
          <w:noProof w:val="0"/>
          <w:color w:val="auto"/>
          <w:sz w:val="22"/>
          <w:szCs w:val="22"/>
          <w:lang w:val="it-IT" w:eastAsia="en-US"/>
        </w:rPr>
        <w:t>01</w:t>
      </w:r>
      <w:r w:rsidRPr="00612B3F">
        <w:rPr>
          <w:rFonts w:eastAsia="Calibri" w:cs="Times New Roman"/>
          <w:i/>
          <w:iCs/>
          <w:noProof w:val="0"/>
          <w:color w:val="auto"/>
          <w:sz w:val="22"/>
          <w:szCs w:val="22"/>
          <w:lang w:val="it-IT" w:eastAsia="en-US"/>
        </w:rPr>
        <w:tab/>
        <w:t>Investimento territoriale integrato — urbano</w:t>
      </w:r>
    </w:p>
    <w:p w14:paraId="1015AD68" w14:textId="2AAA3AC3" w:rsidR="00CA04B4" w:rsidRDefault="00CA04B4" w:rsidP="00612B3F">
      <w:pPr>
        <w:pStyle w:val="Sommariodefinitivo"/>
        <w:rPr>
          <w:rFonts w:eastAsia="Calibri" w:cs="Times New Roman"/>
          <w:i/>
          <w:iCs/>
          <w:noProof w:val="0"/>
          <w:color w:val="auto"/>
          <w:sz w:val="22"/>
          <w:szCs w:val="22"/>
          <w:lang w:val="it-IT" w:eastAsia="en-US"/>
        </w:rPr>
      </w:pPr>
    </w:p>
    <w:p w14:paraId="25E36EF1" w14:textId="77777777" w:rsidR="00CA04B4" w:rsidRPr="000668B4" w:rsidRDefault="00CA04B4" w:rsidP="00CA04B4">
      <w:pPr>
        <w:pStyle w:val="Paragrafoelenco"/>
        <w:numPr>
          <w:ilvl w:val="0"/>
          <w:numId w:val="23"/>
        </w:numPr>
        <w:spacing w:line="240" w:lineRule="auto"/>
        <w:jc w:val="both"/>
        <w:rPr>
          <w:rFonts w:ascii="Arial Narrow" w:hAnsi="Arial Narrow"/>
        </w:rPr>
      </w:pPr>
      <w:r w:rsidRPr="00F32F21">
        <w:rPr>
          <w:rFonts w:ascii="Arial Narrow" w:hAnsi="Arial Narrow"/>
        </w:rPr>
        <w:t>Inserimento link "Rendiconti da validare" in dashboard utenti RIO</w:t>
      </w:r>
      <w:r>
        <w:rPr>
          <w:rFonts w:ascii="Arial Narrow" w:hAnsi="Arial Narrow"/>
        </w:rPr>
        <w:t xml:space="preserve"> – febbraio 2020</w:t>
      </w:r>
    </w:p>
    <w:p w14:paraId="2123E932" w14:textId="325AFF1C" w:rsidR="00CA04B4" w:rsidRDefault="00CA04B4" w:rsidP="00CA04B4">
      <w:pPr>
        <w:spacing w:line="240" w:lineRule="auto"/>
        <w:jc w:val="both"/>
        <w:rPr>
          <w:rFonts w:ascii="Arial Narrow" w:hAnsi="Arial Narrow"/>
          <w:i/>
          <w:iCs/>
        </w:rPr>
      </w:pPr>
      <w:bookmarkStart w:id="2" w:name="_Hlk30762976"/>
      <w:r w:rsidRPr="002A3467">
        <w:rPr>
          <w:rFonts w:ascii="Arial Narrow" w:hAnsi="Arial Narrow"/>
          <w:i/>
          <w:iCs/>
        </w:rPr>
        <w:t xml:space="preserve">Si è provveduto ad </w:t>
      </w:r>
      <w:r>
        <w:rPr>
          <w:rFonts w:ascii="Arial Narrow" w:hAnsi="Arial Narrow"/>
          <w:i/>
          <w:iCs/>
        </w:rPr>
        <w:t xml:space="preserve">implementare una </w:t>
      </w:r>
      <w:r w:rsidRPr="00F32F21">
        <w:rPr>
          <w:rFonts w:ascii="Arial Narrow" w:hAnsi="Arial Narrow"/>
          <w:i/>
          <w:iCs/>
        </w:rPr>
        <w:t xml:space="preserve">funzionalità che </w:t>
      </w:r>
      <w:bookmarkEnd w:id="2"/>
      <w:r w:rsidRPr="00F32F21">
        <w:rPr>
          <w:rFonts w:ascii="Arial Narrow" w:hAnsi="Arial Narrow"/>
          <w:i/>
          <w:iCs/>
        </w:rPr>
        <w:t>consente la visualizzazione d</w:t>
      </w:r>
      <w:r>
        <w:rPr>
          <w:rFonts w:ascii="Arial Narrow" w:hAnsi="Arial Narrow"/>
          <w:i/>
          <w:iCs/>
        </w:rPr>
        <w:t>i specifico link che conduce ad una sezione in cui è possibile visualizzare ed accedere ai singoli rendiconti delle operazioni da validare (funzionalità valida per gli utenti RIO delle sole operazioni in regime di aiuto)</w:t>
      </w:r>
    </w:p>
    <w:p w14:paraId="67F993D0" w14:textId="6CA87235" w:rsidR="001000FE" w:rsidRDefault="001000FE" w:rsidP="00CA04B4">
      <w:pPr>
        <w:spacing w:line="240" w:lineRule="auto"/>
        <w:jc w:val="both"/>
        <w:rPr>
          <w:rFonts w:ascii="Arial Narrow" w:hAnsi="Arial Narrow"/>
          <w:i/>
          <w:iCs/>
        </w:rPr>
      </w:pPr>
    </w:p>
    <w:p w14:paraId="1532431C" w14:textId="62842796" w:rsidR="001000FE" w:rsidRPr="00061452" w:rsidRDefault="00061452" w:rsidP="001000FE">
      <w:pPr>
        <w:pStyle w:val="Paragrafoelenco"/>
        <w:numPr>
          <w:ilvl w:val="0"/>
          <w:numId w:val="23"/>
        </w:numPr>
        <w:spacing w:line="240" w:lineRule="auto"/>
        <w:jc w:val="both"/>
        <w:rPr>
          <w:rFonts w:ascii="Arial Narrow" w:hAnsi="Arial Narrow"/>
        </w:rPr>
      </w:pPr>
      <w:r w:rsidRPr="00061452">
        <w:rPr>
          <w:rFonts w:ascii="Arial Narrow" w:hAnsi="Arial Narrow"/>
        </w:rPr>
        <w:t xml:space="preserve">Disabilitazione inserimento username con caratteri speciali e accenti </w:t>
      </w:r>
      <w:r w:rsidRPr="00061452">
        <w:t xml:space="preserve">– </w:t>
      </w:r>
      <w:r w:rsidRPr="00061452">
        <w:rPr>
          <w:rFonts w:ascii="Arial Narrow" w:hAnsi="Arial Narrow"/>
        </w:rPr>
        <w:t>marzo 2020</w:t>
      </w:r>
    </w:p>
    <w:p w14:paraId="5F9D055B" w14:textId="73F73401" w:rsidR="00CA04B4" w:rsidRDefault="00061452" w:rsidP="00612B3F">
      <w:pPr>
        <w:pStyle w:val="Sommariodefinitivo"/>
        <w:rPr>
          <w:rFonts w:eastAsia="Calibri" w:cs="Times New Roman"/>
          <w:i/>
          <w:iCs/>
          <w:noProof w:val="0"/>
          <w:color w:val="auto"/>
          <w:sz w:val="22"/>
          <w:szCs w:val="22"/>
          <w:lang w:val="it-IT" w:eastAsia="en-US"/>
        </w:rPr>
      </w:pPr>
      <w:r w:rsidRPr="00061452">
        <w:rPr>
          <w:rFonts w:eastAsia="Calibri" w:cs="Times New Roman"/>
          <w:i/>
          <w:iCs/>
          <w:noProof w:val="0"/>
          <w:color w:val="auto"/>
          <w:sz w:val="22"/>
          <w:szCs w:val="22"/>
          <w:lang w:val="it-IT" w:eastAsia="en-US"/>
        </w:rPr>
        <w:t xml:space="preserve">Si è provveduto ad implementare una </w:t>
      </w:r>
      <w:r>
        <w:rPr>
          <w:rFonts w:eastAsia="Calibri" w:cs="Times New Roman"/>
          <w:i/>
          <w:iCs/>
          <w:noProof w:val="0"/>
          <w:color w:val="auto"/>
          <w:sz w:val="22"/>
          <w:szCs w:val="22"/>
          <w:lang w:val="it-IT" w:eastAsia="en-US"/>
        </w:rPr>
        <w:t xml:space="preserve">specifica </w:t>
      </w:r>
      <w:r w:rsidRPr="00061452">
        <w:rPr>
          <w:rFonts w:eastAsia="Calibri" w:cs="Times New Roman"/>
          <w:i/>
          <w:iCs/>
          <w:noProof w:val="0"/>
          <w:color w:val="auto"/>
          <w:sz w:val="22"/>
          <w:szCs w:val="22"/>
          <w:lang w:val="it-IT" w:eastAsia="en-US"/>
        </w:rPr>
        <w:t>funzionalità</w:t>
      </w:r>
      <w:r>
        <w:rPr>
          <w:rFonts w:eastAsia="Calibri" w:cs="Times New Roman"/>
          <w:i/>
          <w:iCs/>
          <w:noProof w:val="0"/>
          <w:color w:val="auto"/>
          <w:sz w:val="22"/>
          <w:szCs w:val="22"/>
          <w:lang w:val="it-IT" w:eastAsia="en-US"/>
        </w:rPr>
        <w:t xml:space="preserve"> che impedisce il censimento di utenti dalle diverse sezioni dell’applicativo, aventi username con all’interno caratteri speciali e accenti. Nel primo caso viene impedito l’inserimento, nel secondo caso </w:t>
      </w:r>
      <w:r w:rsidR="00235294">
        <w:rPr>
          <w:rFonts w:eastAsia="Calibri" w:cs="Times New Roman"/>
          <w:i/>
          <w:iCs/>
          <w:noProof w:val="0"/>
          <w:color w:val="auto"/>
          <w:sz w:val="22"/>
          <w:szCs w:val="22"/>
          <w:lang w:val="it-IT" w:eastAsia="en-US"/>
        </w:rPr>
        <w:t>viene modificato automaticamente il carattere accentato.</w:t>
      </w:r>
    </w:p>
    <w:p w14:paraId="72FF7ADF" w14:textId="77777777" w:rsidR="00061452" w:rsidRDefault="00061452" w:rsidP="00612B3F">
      <w:pPr>
        <w:pStyle w:val="Sommariodefinitivo"/>
        <w:rPr>
          <w:rFonts w:eastAsia="Calibri" w:cs="Times New Roman"/>
          <w:i/>
          <w:iCs/>
          <w:noProof w:val="0"/>
          <w:color w:val="auto"/>
          <w:sz w:val="22"/>
          <w:szCs w:val="22"/>
          <w:lang w:val="it-IT" w:eastAsia="en-US"/>
        </w:rPr>
      </w:pPr>
    </w:p>
    <w:p w14:paraId="51582E08" w14:textId="0D5FAE8D" w:rsidR="00CA04B4" w:rsidRDefault="00CA04B4" w:rsidP="00BA0865">
      <w:pPr>
        <w:pStyle w:val="Sommariodefinitivo"/>
        <w:numPr>
          <w:ilvl w:val="0"/>
          <w:numId w:val="23"/>
        </w:numPr>
        <w:tabs>
          <w:tab w:val="clear" w:pos="566"/>
          <w:tab w:val="left" w:pos="709"/>
        </w:tabs>
        <w:rPr>
          <w:rFonts w:eastAsia="Calibri" w:cs="Times New Roman"/>
          <w:noProof w:val="0"/>
          <w:color w:val="auto"/>
          <w:sz w:val="22"/>
          <w:szCs w:val="22"/>
          <w:lang w:val="it-IT" w:eastAsia="en-US"/>
        </w:rPr>
      </w:pPr>
      <w:r w:rsidRPr="00CA04B4">
        <w:rPr>
          <w:rFonts w:eastAsia="Calibri" w:cs="Times New Roman"/>
          <w:noProof w:val="0"/>
          <w:color w:val="auto"/>
          <w:sz w:val="22"/>
          <w:szCs w:val="22"/>
          <w:lang w:val="it-IT" w:eastAsia="en-US"/>
        </w:rPr>
        <w:t xml:space="preserve">Inserimento colonna </w:t>
      </w:r>
      <w:r>
        <w:rPr>
          <w:rFonts w:eastAsia="Calibri" w:cs="Times New Roman"/>
          <w:noProof w:val="0"/>
          <w:color w:val="auto"/>
          <w:sz w:val="22"/>
          <w:szCs w:val="22"/>
          <w:lang w:val="it-IT" w:eastAsia="en-US"/>
        </w:rPr>
        <w:t>“Data quietanza” nella sezione Pagamenti – marzo 2020</w:t>
      </w:r>
    </w:p>
    <w:p w14:paraId="3EE34DE6" w14:textId="09804566" w:rsidR="00CA04B4" w:rsidRPr="00CA04B4" w:rsidRDefault="00CA04B4" w:rsidP="00ED1B0A">
      <w:pPr>
        <w:pStyle w:val="Sommariodefinitivo"/>
        <w:rPr>
          <w:rFonts w:eastAsia="Calibri" w:cs="Times New Roman"/>
          <w:i/>
          <w:iCs/>
          <w:noProof w:val="0"/>
          <w:color w:val="auto"/>
          <w:sz w:val="22"/>
          <w:szCs w:val="22"/>
          <w:lang w:val="it-IT" w:eastAsia="en-US"/>
        </w:rPr>
      </w:pPr>
      <w:r w:rsidRPr="00CA04B4">
        <w:rPr>
          <w:rFonts w:eastAsia="Calibri" w:cs="Times New Roman"/>
          <w:i/>
          <w:iCs/>
          <w:noProof w:val="0"/>
          <w:color w:val="auto"/>
          <w:sz w:val="22"/>
          <w:szCs w:val="22"/>
          <w:lang w:val="it-IT" w:eastAsia="en-US"/>
        </w:rPr>
        <w:t xml:space="preserve">Si è provveduto ad implementare una specifica colonna nella tabella di riepilogo della sezione </w:t>
      </w:r>
      <w:r>
        <w:rPr>
          <w:rFonts w:eastAsia="Calibri" w:cs="Times New Roman"/>
          <w:i/>
          <w:iCs/>
          <w:noProof w:val="0"/>
          <w:color w:val="auto"/>
          <w:sz w:val="22"/>
          <w:szCs w:val="22"/>
          <w:lang w:val="it-IT" w:eastAsia="en-US"/>
        </w:rPr>
        <w:t>“</w:t>
      </w:r>
      <w:r w:rsidRPr="00CA04B4">
        <w:rPr>
          <w:rFonts w:eastAsia="Calibri" w:cs="Times New Roman"/>
          <w:i/>
          <w:iCs/>
          <w:noProof w:val="0"/>
          <w:color w:val="auto"/>
          <w:sz w:val="22"/>
          <w:szCs w:val="22"/>
          <w:lang w:val="it-IT" w:eastAsia="en-US"/>
        </w:rPr>
        <w:t>Pagamenti</w:t>
      </w:r>
      <w:r>
        <w:rPr>
          <w:rFonts w:eastAsia="Calibri" w:cs="Times New Roman"/>
          <w:i/>
          <w:iCs/>
          <w:noProof w:val="0"/>
          <w:color w:val="auto"/>
          <w:sz w:val="22"/>
          <w:szCs w:val="22"/>
          <w:lang w:val="it-IT" w:eastAsia="en-US"/>
        </w:rPr>
        <w:t>” (contenente l’elenco dei pagamenti censiti) che restituisce l’informazione relativa alla data della quietanza del pagamento (laddove valorizzata).</w:t>
      </w:r>
      <w:bookmarkStart w:id="3" w:name="_GoBack"/>
      <w:bookmarkEnd w:id="3"/>
    </w:p>
    <w:sectPr w:rsidR="00CA04B4" w:rsidRPr="00CA04B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E318D"/>
    <w:multiLevelType w:val="hybridMultilevel"/>
    <w:tmpl w:val="46E8BC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B7DE3"/>
    <w:multiLevelType w:val="hybridMultilevel"/>
    <w:tmpl w:val="9506AB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A03B0"/>
    <w:multiLevelType w:val="hybridMultilevel"/>
    <w:tmpl w:val="384E501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10017"/>
    <w:multiLevelType w:val="hybridMultilevel"/>
    <w:tmpl w:val="22BE15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C1945"/>
    <w:multiLevelType w:val="multilevel"/>
    <w:tmpl w:val="49AA5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3856F6"/>
    <w:multiLevelType w:val="multilevel"/>
    <w:tmpl w:val="C3181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CF6110"/>
    <w:multiLevelType w:val="hybridMultilevel"/>
    <w:tmpl w:val="893420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517FF"/>
    <w:multiLevelType w:val="hybridMultilevel"/>
    <w:tmpl w:val="A34659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FC7522"/>
    <w:multiLevelType w:val="hybridMultilevel"/>
    <w:tmpl w:val="C9F2F9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AA06B3"/>
    <w:multiLevelType w:val="hybridMultilevel"/>
    <w:tmpl w:val="6E9CAF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A60E78"/>
    <w:multiLevelType w:val="multilevel"/>
    <w:tmpl w:val="985C8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5A2335"/>
    <w:multiLevelType w:val="hybridMultilevel"/>
    <w:tmpl w:val="A902595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0A95503"/>
    <w:multiLevelType w:val="hybridMultilevel"/>
    <w:tmpl w:val="5B4E1F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6517A2"/>
    <w:multiLevelType w:val="hybridMultilevel"/>
    <w:tmpl w:val="2D2C52AC"/>
    <w:lvl w:ilvl="0" w:tplc="738C40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074567"/>
    <w:multiLevelType w:val="hybridMultilevel"/>
    <w:tmpl w:val="40F2DF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975178"/>
    <w:multiLevelType w:val="hybridMultilevel"/>
    <w:tmpl w:val="0A42F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4B0A44"/>
    <w:multiLevelType w:val="hybridMultilevel"/>
    <w:tmpl w:val="400ED80A"/>
    <w:lvl w:ilvl="0" w:tplc="4EE893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AD0E20"/>
    <w:multiLevelType w:val="hybridMultilevel"/>
    <w:tmpl w:val="4FB2EF7C"/>
    <w:lvl w:ilvl="0" w:tplc="20BC1D88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32095C"/>
    <w:multiLevelType w:val="hybridMultilevel"/>
    <w:tmpl w:val="5FE0A4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536A26"/>
    <w:multiLevelType w:val="hybridMultilevel"/>
    <w:tmpl w:val="88885B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C3470B"/>
    <w:multiLevelType w:val="hybridMultilevel"/>
    <w:tmpl w:val="5E24ED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11359F"/>
    <w:multiLevelType w:val="hybridMultilevel"/>
    <w:tmpl w:val="9C20F9E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3D37CC"/>
    <w:multiLevelType w:val="hybridMultilevel"/>
    <w:tmpl w:val="B81CA0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DC359A"/>
    <w:multiLevelType w:val="hybridMultilevel"/>
    <w:tmpl w:val="37701066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B9F6159"/>
    <w:multiLevelType w:val="hybridMultilevel"/>
    <w:tmpl w:val="D2FA4AFC"/>
    <w:lvl w:ilvl="0" w:tplc="74BCB2D2">
      <w:start w:val="1"/>
      <w:numFmt w:val="bullet"/>
      <w:lvlText w:val="-"/>
      <w:lvlJc w:val="left"/>
      <w:pPr>
        <w:ind w:left="41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3"/>
  </w:num>
  <w:num w:numId="3">
    <w:abstractNumId w:val="1"/>
  </w:num>
  <w:num w:numId="4">
    <w:abstractNumId w:val="17"/>
  </w:num>
  <w:num w:numId="5">
    <w:abstractNumId w:val="14"/>
  </w:num>
  <w:num w:numId="6">
    <w:abstractNumId w:val="6"/>
  </w:num>
  <w:num w:numId="7">
    <w:abstractNumId w:val="22"/>
  </w:num>
  <w:num w:numId="8">
    <w:abstractNumId w:val="0"/>
  </w:num>
  <w:num w:numId="9">
    <w:abstractNumId w:val="21"/>
  </w:num>
  <w:num w:numId="10">
    <w:abstractNumId w:val="2"/>
  </w:num>
  <w:num w:numId="11">
    <w:abstractNumId w:val="15"/>
  </w:num>
  <w:num w:numId="12">
    <w:abstractNumId w:val="18"/>
  </w:num>
  <w:num w:numId="13">
    <w:abstractNumId w:val="3"/>
  </w:num>
  <w:num w:numId="14">
    <w:abstractNumId w:val="11"/>
  </w:num>
  <w:num w:numId="15">
    <w:abstractNumId w:val="5"/>
  </w:num>
  <w:num w:numId="16">
    <w:abstractNumId w:val="8"/>
  </w:num>
  <w:num w:numId="17">
    <w:abstractNumId w:val="12"/>
  </w:num>
  <w:num w:numId="18">
    <w:abstractNumId w:val="24"/>
  </w:num>
  <w:num w:numId="19">
    <w:abstractNumId w:val="13"/>
  </w:num>
  <w:num w:numId="20">
    <w:abstractNumId w:val="9"/>
  </w:num>
  <w:num w:numId="21">
    <w:abstractNumId w:val="20"/>
  </w:num>
  <w:num w:numId="22">
    <w:abstractNumId w:val="7"/>
  </w:num>
  <w:num w:numId="23">
    <w:abstractNumId w:val="19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FA8"/>
    <w:rsid w:val="00003644"/>
    <w:rsid w:val="00061452"/>
    <w:rsid w:val="000668B4"/>
    <w:rsid w:val="000E41E0"/>
    <w:rsid w:val="001000FE"/>
    <w:rsid w:val="00121E31"/>
    <w:rsid w:val="0014547C"/>
    <w:rsid w:val="001508B8"/>
    <w:rsid w:val="00161797"/>
    <w:rsid w:val="001620AA"/>
    <w:rsid w:val="00163ED2"/>
    <w:rsid w:val="001743B1"/>
    <w:rsid w:val="001A19EE"/>
    <w:rsid w:val="001E12C6"/>
    <w:rsid w:val="001E27DE"/>
    <w:rsid w:val="00202240"/>
    <w:rsid w:val="00211A7A"/>
    <w:rsid w:val="00223E23"/>
    <w:rsid w:val="00225575"/>
    <w:rsid w:val="00235294"/>
    <w:rsid w:val="00266D3A"/>
    <w:rsid w:val="00286EED"/>
    <w:rsid w:val="002A3467"/>
    <w:rsid w:val="002E53BC"/>
    <w:rsid w:val="0033397A"/>
    <w:rsid w:val="003562D4"/>
    <w:rsid w:val="00383A73"/>
    <w:rsid w:val="003A1E4C"/>
    <w:rsid w:val="003A4F0C"/>
    <w:rsid w:val="003B0AD0"/>
    <w:rsid w:val="003E35D6"/>
    <w:rsid w:val="00414B2A"/>
    <w:rsid w:val="00422B87"/>
    <w:rsid w:val="00450FCF"/>
    <w:rsid w:val="00457317"/>
    <w:rsid w:val="00461228"/>
    <w:rsid w:val="004A350D"/>
    <w:rsid w:val="004B3485"/>
    <w:rsid w:val="004C0138"/>
    <w:rsid w:val="00550663"/>
    <w:rsid w:val="00583B0E"/>
    <w:rsid w:val="005C1846"/>
    <w:rsid w:val="005C3F92"/>
    <w:rsid w:val="006003BC"/>
    <w:rsid w:val="00607BA5"/>
    <w:rsid w:val="00612B3F"/>
    <w:rsid w:val="00623C02"/>
    <w:rsid w:val="006375DE"/>
    <w:rsid w:val="00667959"/>
    <w:rsid w:val="00673CF7"/>
    <w:rsid w:val="006A51A3"/>
    <w:rsid w:val="006D281F"/>
    <w:rsid w:val="006E1BA4"/>
    <w:rsid w:val="007013B2"/>
    <w:rsid w:val="0076455E"/>
    <w:rsid w:val="007C70B7"/>
    <w:rsid w:val="00802BB7"/>
    <w:rsid w:val="008914F8"/>
    <w:rsid w:val="008E6F08"/>
    <w:rsid w:val="009113B6"/>
    <w:rsid w:val="00956D37"/>
    <w:rsid w:val="00963A49"/>
    <w:rsid w:val="0097196D"/>
    <w:rsid w:val="009763DE"/>
    <w:rsid w:val="009B1F94"/>
    <w:rsid w:val="009C53BA"/>
    <w:rsid w:val="00A30B06"/>
    <w:rsid w:val="00A33AFC"/>
    <w:rsid w:val="00A36D63"/>
    <w:rsid w:val="00A568E2"/>
    <w:rsid w:val="00A950EF"/>
    <w:rsid w:val="00A972DE"/>
    <w:rsid w:val="00A97A23"/>
    <w:rsid w:val="00AE29E0"/>
    <w:rsid w:val="00AF4829"/>
    <w:rsid w:val="00B32770"/>
    <w:rsid w:val="00B40196"/>
    <w:rsid w:val="00BA0865"/>
    <w:rsid w:val="00BA08EC"/>
    <w:rsid w:val="00BB0E5E"/>
    <w:rsid w:val="00C87068"/>
    <w:rsid w:val="00CA04B4"/>
    <w:rsid w:val="00D30627"/>
    <w:rsid w:val="00D461D3"/>
    <w:rsid w:val="00D7701D"/>
    <w:rsid w:val="00D85DB8"/>
    <w:rsid w:val="00DA6B08"/>
    <w:rsid w:val="00DB3AD0"/>
    <w:rsid w:val="00DB3D38"/>
    <w:rsid w:val="00DE3FA8"/>
    <w:rsid w:val="00E0130A"/>
    <w:rsid w:val="00E51C73"/>
    <w:rsid w:val="00E53B63"/>
    <w:rsid w:val="00ED1B0A"/>
    <w:rsid w:val="00F1385A"/>
    <w:rsid w:val="00F1559A"/>
    <w:rsid w:val="00F32F21"/>
    <w:rsid w:val="00F42D50"/>
    <w:rsid w:val="00F72A1C"/>
    <w:rsid w:val="00F9208E"/>
    <w:rsid w:val="00FE47F3"/>
    <w:rsid w:val="00FF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16DB7"/>
  <w15:chartTrackingRefBased/>
  <w15:docId w15:val="{6E8C54BB-5B02-41DF-9968-4015AB8E1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3FA8"/>
    <w:pPr>
      <w:spacing w:after="200" w:line="276" w:lineRule="auto"/>
    </w:pPr>
    <w:rPr>
      <w:rFonts w:ascii="Calibri" w:eastAsia="Calibri" w:hAnsi="Calibri" w:cs="Times New Roman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D770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ommariodefinitivoCarattere">
    <w:name w:val="Sommario definitivo Carattere"/>
    <w:link w:val="Sommariodefinitivo"/>
    <w:locked/>
    <w:rsid w:val="00DE3FA8"/>
    <w:rPr>
      <w:rFonts w:ascii="Arial Narrow" w:eastAsia="Times New Roman" w:hAnsi="Arial Narrow"/>
      <w:noProof/>
      <w:color w:val="00B0F0"/>
      <w:sz w:val="24"/>
      <w:szCs w:val="24"/>
      <w:lang w:val="x-none" w:eastAsia="x-none"/>
    </w:rPr>
  </w:style>
  <w:style w:type="paragraph" w:customStyle="1" w:styleId="Sommariodefinitivo">
    <w:name w:val="Sommario definitivo"/>
    <w:basedOn w:val="Sommario1"/>
    <w:link w:val="SommariodefinitivoCarattere"/>
    <w:qFormat/>
    <w:rsid w:val="00DE3FA8"/>
    <w:pPr>
      <w:tabs>
        <w:tab w:val="left" w:pos="566"/>
        <w:tab w:val="right" w:leader="dot" w:pos="9628"/>
      </w:tabs>
      <w:spacing w:before="120" w:after="0" w:line="240" w:lineRule="auto"/>
      <w:jc w:val="both"/>
    </w:pPr>
    <w:rPr>
      <w:rFonts w:ascii="Arial Narrow" w:eastAsia="Times New Roman" w:hAnsi="Arial Narrow" w:cstheme="minorBidi"/>
      <w:noProof/>
      <w:color w:val="00B0F0"/>
      <w:sz w:val="24"/>
      <w:szCs w:val="24"/>
      <w:lang w:val="x-none" w:eastAsia="x-none"/>
    </w:rPr>
  </w:style>
  <w:style w:type="paragraph" w:styleId="Sommario1">
    <w:name w:val="toc 1"/>
    <w:basedOn w:val="Normale"/>
    <w:next w:val="Normale"/>
    <w:autoRedefine/>
    <w:uiPriority w:val="39"/>
    <w:semiHidden/>
    <w:unhideWhenUsed/>
    <w:rsid w:val="00DE3FA8"/>
    <w:pPr>
      <w:spacing w:after="100"/>
    </w:pPr>
  </w:style>
  <w:style w:type="paragraph" w:styleId="Paragrafoelenco">
    <w:name w:val="List Paragraph"/>
    <w:basedOn w:val="Normale"/>
    <w:uiPriority w:val="34"/>
    <w:qFormat/>
    <w:rsid w:val="00DE3FA8"/>
    <w:pPr>
      <w:ind w:left="720"/>
      <w:contextualSpacing/>
    </w:pPr>
  </w:style>
  <w:style w:type="paragraph" w:customStyle="1" w:styleId="item">
    <w:name w:val="item"/>
    <w:basedOn w:val="Normale"/>
    <w:rsid w:val="003A4F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A4F0C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963A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Default">
    <w:name w:val="Default"/>
    <w:rsid w:val="00ED1B0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7701D"/>
    <w:rPr>
      <w:rFonts w:ascii="Arial" w:eastAsia="Calibri" w:hAnsi="Arial" w:cs="Arial"/>
      <w:b/>
      <w:bCs/>
      <w:i/>
      <w:iCs/>
      <w:sz w:val="28"/>
      <w:szCs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1E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1E4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9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3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94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3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3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358BD-2A64-4621-A81D-ADB07A32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Consulenza [1]</dc:creator>
  <cp:keywords/>
  <dc:description/>
  <cp:lastModifiedBy>Dario Raho</cp:lastModifiedBy>
  <cp:revision>93</cp:revision>
  <dcterms:created xsi:type="dcterms:W3CDTF">2019-01-17T16:32:00Z</dcterms:created>
  <dcterms:modified xsi:type="dcterms:W3CDTF">2020-03-13T16:14:00Z</dcterms:modified>
</cp:coreProperties>
</file>