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31CF6484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8F3FA1">
              <w:rPr>
                <w:b/>
                <w:sz w:val="32"/>
                <w:lang w:val="it-IT"/>
              </w:rPr>
              <w:t>2</w:t>
            </w:r>
            <w:r w:rsidR="00AE2FD5">
              <w:rPr>
                <w:b/>
                <w:sz w:val="32"/>
                <w:lang w:val="it-IT"/>
              </w:rPr>
              <w:t>6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AE2FD5">
              <w:rPr>
                <w:b/>
                <w:sz w:val="32"/>
                <w:lang w:val="it-IT"/>
              </w:rPr>
              <w:t>20</w:t>
            </w:r>
            <w:r w:rsidR="007B13FD">
              <w:rPr>
                <w:b/>
                <w:sz w:val="32"/>
                <w:lang w:val="it-IT"/>
              </w:rPr>
              <w:t>/0</w:t>
            </w:r>
            <w:r w:rsidR="00AE2FD5">
              <w:rPr>
                <w:b/>
                <w:sz w:val="32"/>
                <w:lang w:val="it-IT"/>
              </w:rPr>
              <w:t>3</w:t>
            </w:r>
            <w:r w:rsidR="007B13FD">
              <w:rPr>
                <w:b/>
                <w:sz w:val="32"/>
                <w:lang w:val="it-IT"/>
              </w:rPr>
              <w:t>/2022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4B5F1813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8F3FA1">
              <w:rPr>
                <w:sz w:val="32"/>
                <w:lang w:val="it-IT"/>
              </w:rPr>
              <w:t>2</w:t>
            </w:r>
            <w:r w:rsidR="00AE2FD5">
              <w:rPr>
                <w:sz w:val="32"/>
                <w:lang w:val="it-IT"/>
              </w:rPr>
              <w:t>6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AE2FD5">
              <w:rPr>
                <w:sz w:val="32"/>
                <w:lang w:val="it-IT"/>
              </w:rPr>
              <w:t>20/03</w:t>
            </w:r>
            <w:r w:rsidR="007B13FD" w:rsidRPr="007B13FD">
              <w:rPr>
                <w:bCs/>
                <w:sz w:val="32"/>
                <w:lang w:val="it-IT"/>
              </w:rPr>
              <w:t>/2022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0D1EFC17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074B96">
              <w:rPr>
                <w:bCs/>
                <w:sz w:val="32"/>
                <w:lang w:val="it-IT"/>
              </w:rPr>
              <w:t>31</w:t>
            </w:r>
            <w:r w:rsidR="00AE2FD5">
              <w:rPr>
                <w:bCs/>
                <w:sz w:val="32"/>
                <w:lang w:val="it-IT"/>
              </w:rPr>
              <w:t>/03</w:t>
            </w:r>
            <w:r w:rsidR="007B13FD" w:rsidRPr="007B13FD">
              <w:rPr>
                <w:bCs/>
                <w:sz w:val="32"/>
                <w:lang w:val="it-IT"/>
              </w:rPr>
              <w:t>/2022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139F086F" w:rsidR="00DE3FA8" w:rsidRPr="00BB5902" w:rsidRDefault="00074B96" w:rsidP="003B0AD0">
                  <w:pPr>
                    <w:spacing w:after="0" w:line="240" w:lineRule="auto"/>
                    <w:jc w:val="center"/>
                  </w:pPr>
                  <w:r>
                    <w:t>31/03</w:t>
                  </w:r>
                  <w:r w:rsidR="007B13FD">
                    <w:t>/2022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170A0D6E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</w:t>
      </w:r>
      <w:r w:rsidR="009F7D68">
        <w:rPr>
          <w:rFonts w:ascii="Arial Narrow" w:hAnsi="Arial Narrow"/>
        </w:rPr>
        <w:t xml:space="preserve">nel periodo che va dal </w:t>
      </w:r>
      <w:r w:rsidR="00AE2FD5">
        <w:rPr>
          <w:rFonts w:ascii="Arial Narrow" w:hAnsi="Arial Narrow"/>
        </w:rPr>
        <w:t>19/01</w:t>
      </w:r>
      <w:r w:rsidR="009F7D68">
        <w:rPr>
          <w:rFonts w:ascii="Arial Narrow" w:hAnsi="Arial Narrow"/>
        </w:rPr>
        <w:t>/202</w:t>
      </w:r>
      <w:r w:rsidR="00AE2FD5">
        <w:rPr>
          <w:rFonts w:ascii="Arial Narrow" w:hAnsi="Arial Narrow"/>
        </w:rPr>
        <w:t>2</w:t>
      </w:r>
      <w:r w:rsidR="009F7D68">
        <w:rPr>
          <w:rFonts w:ascii="Arial Narrow" w:hAnsi="Arial Narrow"/>
        </w:rPr>
        <w:t xml:space="preserve"> </w:t>
      </w:r>
      <w:r w:rsidR="00904171">
        <w:rPr>
          <w:rFonts w:ascii="Arial Narrow" w:hAnsi="Arial Narrow"/>
        </w:rPr>
        <w:t>al</w:t>
      </w:r>
      <w:r w:rsidR="007B13FD">
        <w:rPr>
          <w:rFonts w:ascii="Arial Narrow" w:hAnsi="Arial Narrow"/>
        </w:rPr>
        <w:t xml:space="preserve"> </w:t>
      </w:r>
      <w:r w:rsidR="00AE2FD5">
        <w:rPr>
          <w:rFonts w:ascii="Arial Narrow" w:hAnsi="Arial Narrow"/>
        </w:rPr>
        <w:t>20/03</w:t>
      </w:r>
      <w:r w:rsidR="007B13FD">
        <w:rPr>
          <w:rFonts w:ascii="Arial Narrow" w:hAnsi="Arial Narrow"/>
        </w:rPr>
        <w:t>/2022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BFB67F5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>, le quali sono gestite in apposito documento rilasciato con cadenza mensile.</w:t>
      </w:r>
    </w:p>
    <w:p w14:paraId="5FA79647" w14:textId="070205D0" w:rsidR="001E27DE" w:rsidRPr="00DE3FA8" w:rsidRDefault="00705884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Laddove non diversamente indicato, il rilascio riguarda </w:t>
      </w:r>
      <w:r w:rsidR="00AE2FD5">
        <w:rPr>
          <w:rFonts w:ascii="Arial Narrow" w:hAnsi="Arial Narrow"/>
        </w:rPr>
        <w:t xml:space="preserve">la versione reingegnerizzata </w:t>
      </w:r>
      <w:r>
        <w:rPr>
          <w:rFonts w:ascii="Arial Narrow" w:hAnsi="Arial Narrow"/>
        </w:rPr>
        <w:t>dell’applicativo Caronte.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637594F7" w14:textId="73CEE529" w:rsidR="00B829ED" w:rsidRDefault="00B829ED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781733D7" w14:textId="7DDEA733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 w:rsidR="00AE2FD5">
        <w:rPr>
          <w:rFonts w:ascii="Arial Narrow" w:hAnsi="Arial Narrow"/>
        </w:rPr>
        <w:t>funzionalità Assegna RIO</w:t>
      </w:r>
    </w:p>
    <w:p w14:paraId="2D2CAAA1" w14:textId="327CFF4D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In data </w:t>
      </w:r>
      <w:r w:rsidR="00AE2FD5">
        <w:rPr>
          <w:rFonts w:ascii="Arial Narrow" w:hAnsi="Arial Narrow"/>
          <w:i/>
          <w:iCs/>
        </w:rPr>
        <w:t>08/03</w:t>
      </w:r>
      <w:r>
        <w:rPr>
          <w:rFonts w:ascii="Arial Narrow" w:hAnsi="Arial Narrow"/>
          <w:i/>
          <w:iCs/>
        </w:rPr>
        <w:t>/2022 si è provveduto al rilascio in ambiente di produzione</w:t>
      </w:r>
      <w:r w:rsidR="00AE2FD5">
        <w:rPr>
          <w:rFonts w:ascii="Arial Narrow" w:hAnsi="Arial Narrow"/>
          <w:i/>
          <w:iCs/>
        </w:rPr>
        <w:t xml:space="preserve"> della funzionalità Assegna RIO. </w:t>
      </w:r>
      <w:r>
        <w:rPr>
          <w:rFonts w:ascii="Arial Narrow" w:hAnsi="Arial Narrow"/>
          <w:i/>
          <w:iCs/>
        </w:rPr>
        <w:t>L</w:t>
      </w:r>
      <w:r w:rsidR="00AE2FD5">
        <w:rPr>
          <w:rFonts w:ascii="Arial Narrow" w:hAnsi="Arial Narrow"/>
          <w:i/>
          <w:iCs/>
        </w:rPr>
        <w:t>a</w:t>
      </w:r>
      <w:r>
        <w:rPr>
          <w:rFonts w:ascii="Arial Narrow" w:hAnsi="Arial Narrow"/>
          <w:i/>
          <w:iCs/>
        </w:rPr>
        <w:t xml:space="preserve"> funzionalità rilasciat</w:t>
      </w:r>
      <w:r w:rsidR="00AE2FD5">
        <w:rPr>
          <w:rFonts w:ascii="Arial Narrow" w:hAnsi="Arial Narrow"/>
          <w:i/>
          <w:iCs/>
        </w:rPr>
        <w:t>a</w:t>
      </w:r>
      <w:r>
        <w:rPr>
          <w:rFonts w:ascii="Arial Narrow" w:hAnsi="Arial Narrow"/>
          <w:i/>
          <w:iCs/>
        </w:rPr>
        <w:t>, in particolare, consent</w:t>
      </w:r>
      <w:r w:rsidR="00AE2FD5">
        <w:rPr>
          <w:rFonts w:ascii="Arial Narrow" w:hAnsi="Arial Narrow"/>
          <w:i/>
          <w:iCs/>
        </w:rPr>
        <w:t>e di poter assegnare un RIO ad uno o più progetti in maniera automatica e massiva. La funzione è posta nella sezione Amministrazione ed è in gestione di utenze con ruolo di admin</w:t>
      </w:r>
    </w:p>
    <w:p w14:paraId="4D7014D8" w14:textId="07FDD41B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 w:rsidR="00AE2FD5">
        <w:rPr>
          <w:rFonts w:ascii="Arial Narrow" w:hAnsi="Arial Narrow"/>
        </w:rPr>
        <w:t>funzionalità Parco Progetti</w:t>
      </w:r>
    </w:p>
    <w:p w14:paraId="537FB573" w14:textId="0D6C65C4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  <w:r w:rsidRPr="007B13FD">
        <w:rPr>
          <w:rFonts w:ascii="Arial Narrow" w:hAnsi="Arial Narrow"/>
          <w:i/>
          <w:iCs/>
        </w:rPr>
        <w:t>In data 1</w:t>
      </w:r>
      <w:r w:rsidR="00BB059B">
        <w:rPr>
          <w:rFonts w:ascii="Arial Narrow" w:hAnsi="Arial Narrow"/>
          <w:i/>
          <w:iCs/>
        </w:rPr>
        <w:t>7/02</w:t>
      </w:r>
      <w:r w:rsidRPr="007B13FD">
        <w:rPr>
          <w:rFonts w:ascii="Arial Narrow" w:hAnsi="Arial Narrow"/>
          <w:i/>
          <w:iCs/>
        </w:rPr>
        <w:t>/2022 si è provveduto al completamento del rilascio in ambiente di produzione</w:t>
      </w:r>
      <w:r w:rsidR="00BB059B">
        <w:rPr>
          <w:rFonts w:ascii="Arial Narrow" w:hAnsi="Arial Narrow"/>
          <w:i/>
          <w:iCs/>
        </w:rPr>
        <w:t xml:space="preserve"> </w:t>
      </w:r>
      <w:r w:rsidRPr="007B13FD">
        <w:rPr>
          <w:rFonts w:ascii="Arial Narrow" w:hAnsi="Arial Narrow"/>
          <w:i/>
          <w:iCs/>
        </w:rPr>
        <w:t>de</w:t>
      </w:r>
      <w:r w:rsidR="00BB059B">
        <w:rPr>
          <w:rFonts w:ascii="Arial Narrow" w:hAnsi="Arial Narrow"/>
          <w:i/>
          <w:iCs/>
        </w:rPr>
        <w:t>lla funzionalità</w:t>
      </w:r>
      <w:r w:rsidRPr="007B13FD">
        <w:rPr>
          <w:rFonts w:ascii="Arial Narrow" w:hAnsi="Arial Narrow"/>
          <w:i/>
          <w:iCs/>
        </w:rPr>
        <w:t xml:space="preserve"> per la gestione </w:t>
      </w:r>
      <w:r w:rsidR="00AC2B18">
        <w:rPr>
          <w:rFonts w:ascii="Arial Narrow" w:hAnsi="Arial Narrow"/>
          <w:i/>
          <w:iCs/>
        </w:rPr>
        <w:t xml:space="preserve">del </w:t>
      </w:r>
      <w:r w:rsidR="00BB059B">
        <w:rPr>
          <w:rFonts w:ascii="Arial Narrow" w:hAnsi="Arial Narrow"/>
          <w:i/>
          <w:iCs/>
        </w:rPr>
        <w:t xml:space="preserve">Parco Progetti. </w:t>
      </w:r>
      <w:r w:rsidRPr="007B13FD">
        <w:rPr>
          <w:rFonts w:ascii="Arial Narrow" w:hAnsi="Arial Narrow"/>
          <w:i/>
          <w:iCs/>
        </w:rPr>
        <w:t>L</w:t>
      </w:r>
      <w:r w:rsidR="00BB059B">
        <w:rPr>
          <w:rFonts w:ascii="Arial Narrow" w:hAnsi="Arial Narrow"/>
          <w:i/>
          <w:iCs/>
        </w:rPr>
        <w:t>a</w:t>
      </w:r>
      <w:r w:rsidRPr="007B13FD">
        <w:rPr>
          <w:rFonts w:ascii="Arial Narrow" w:hAnsi="Arial Narrow"/>
          <w:i/>
          <w:iCs/>
        </w:rPr>
        <w:t xml:space="preserve"> funzionalità rilasciat</w:t>
      </w:r>
      <w:r w:rsidR="00BB059B">
        <w:rPr>
          <w:rFonts w:ascii="Arial Narrow" w:hAnsi="Arial Narrow"/>
          <w:i/>
          <w:iCs/>
        </w:rPr>
        <w:t>a</w:t>
      </w:r>
      <w:r w:rsidRPr="007B13FD">
        <w:rPr>
          <w:rFonts w:ascii="Arial Narrow" w:hAnsi="Arial Narrow"/>
          <w:i/>
          <w:iCs/>
        </w:rPr>
        <w:t>, in particolare, consent</w:t>
      </w:r>
      <w:r w:rsidR="00BB059B">
        <w:rPr>
          <w:rFonts w:ascii="Arial Narrow" w:hAnsi="Arial Narrow"/>
          <w:i/>
          <w:iCs/>
        </w:rPr>
        <w:t>e</w:t>
      </w:r>
      <w:r w:rsidR="00904171">
        <w:rPr>
          <w:rFonts w:ascii="Arial Narrow" w:hAnsi="Arial Narrow"/>
          <w:i/>
          <w:iCs/>
        </w:rPr>
        <w:t xml:space="preserve"> </w:t>
      </w:r>
      <w:r w:rsidR="00BB059B">
        <w:rPr>
          <w:rFonts w:ascii="Arial Narrow" w:hAnsi="Arial Narrow"/>
          <w:i/>
          <w:iCs/>
        </w:rPr>
        <w:t xml:space="preserve">il passaggio di stato dei progetti in un cd. Parco Progetti da dove è possibile poi procedere ad una inclusione, che congela il progetto in attesa di evoluzioni o ad una esclusione per poter far tornare il progetto nel flusso del </w:t>
      </w:r>
      <w:proofErr w:type="spellStart"/>
      <w:r w:rsidR="00BB059B">
        <w:rPr>
          <w:rFonts w:ascii="Arial Narrow" w:hAnsi="Arial Narrow"/>
          <w:i/>
          <w:iCs/>
        </w:rPr>
        <w:t>ciclovita</w:t>
      </w:r>
      <w:proofErr w:type="spellEnd"/>
      <w:r w:rsidR="00BB059B">
        <w:rPr>
          <w:rFonts w:ascii="Arial Narrow" w:hAnsi="Arial Narrow"/>
          <w:i/>
          <w:iCs/>
        </w:rPr>
        <w:t xml:space="preserve"> classico.</w:t>
      </w:r>
    </w:p>
    <w:p w14:paraId="1DFF4AED" w14:textId="65EA1E11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7BB1F9BA" w14:textId="24E7121C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 w:rsidR="00AE2FD5">
        <w:rPr>
          <w:rFonts w:ascii="Arial Narrow" w:hAnsi="Arial Narrow"/>
        </w:rPr>
        <w:t>adeguamenti monitoraggio</w:t>
      </w:r>
    </w:p>
    <w:p w14:paraId="1F654CBD" w14:textId="393B7402" w:rsidR="007B13FD" w:rsidRP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  <w:r w:rsidRPr="007B13FD">
        <w:rPr>
          <w:rFonts w:ascii="Arial Narrow" w:hAnsi="Arial Narrow"/>
          <w:i/>
          <w:iCs/>
        </w:rPr>
        <w:t xml:space="preserve">In data </w:t>
      </w:r>
      <w:r w:rsidR="00BB059B">
        <w:rPr>
          <w:rFonts w:ascii="Arial Narrow" w:hAnsi="Arial Narrow"/>
          <w:i/>
          <w:iCs/>
        </w:rPr>
        <w:t>22/03/2022</w:t>
      </w:r>
      <w:r w:rsidRPr="007B13FD">
        <w:rPr>
          <w:rFonts w:ascii="Arial Narrow" w:hAnsi="Arial Narrow"/>
          <w:i/>
          <w:iCs/>
        </w:rPr>
        <w:t xml:space="preserve"> si è provveduto al </w:t>
      </w:r>
      <w:r w:rsidR="00BB059B">
        <w:rPr>
          <w:rFonts w:ascii="Arial Narrow" w:hAnsi="Arial Narrow"/>
          <w:i/>
          <w:iCs/>
        </w:rPr>
        <w:t xml:space="preserve">rilascio di alcune funzionalità e adeguamenti richiesti dal Cliente per consentire il miglioramento dell’usabilità nell’ambito della sezione Monitoraggio. </w:t>
      </w:r>
      <w:proofErr w:type="gramStart"/>
      <w:r w:rsidR="00BB059B">
        <w:rPr>
          <w:rFonts w:ascii="Arial Narrow" w:hAnsi="Arial Narrow"/>
          <w:i/>
          <w:iCs/>
        </w:rPr>
        <w:t>In particolare</w:t>
      </w:r>
      <w:proofErr w:type="gramEnd"/>
      <w:r w:rsidR="00BB059B">
        <w:rPr>
          <w:rFonts w:ascii="Arial Narrow" w:hAnsi="Arial Narrow"/>
          <w:i/>
          <w:iCs/>
        </w:rPr>
        <w:t xml:space="preserve"> si è provveduto all’aggiunta della possibilità di navigare il </w:t>
      </w:r>
      <w:proofErr w:type="spellStart"/>
      <w:r w:rsidR="00BB059B">
        <w:rPr>
          <w:rFonts w:ascii="Arial Narrow" w:hAnsi="Arial Narrow"/>
          <w:i/>
          <w:iCs/>
        </w:rPr>
        <w:t>txt</w:t>
      </w:r>
      <w:proofErr w:type="spellEnd"/>
      <w:r w:rsidR="00BB059B">
        <w:rPr>
          <w:rFonts w:ascii="Arial Narrow" w:hAnsi="Arial Narrow"/>
          <w:i/>
          <w:iCs/>
        </w:rPr>
        <w:t xml:space="preserve"> con filtri di ricerca e per struttura e di poter trasmettere il </w:t>
      </w:r>
      <w:proofErr w:type="spellStart"/>
      <w:r w:rsidR="00BB059B">
        <w:rPr>
          <w:rFonts w:ascii="Arial Narrow" w:hAnsi="Arial Narrow"/>
          <w:i/>
          <w:iCs/>
        </w:rPr>
        <w:t>txt</w:t>
      </w:r>
      <w:proofErr w:type="spellEnd"/>
      <w:r w:rsidR="00BB059B">
        <w:rPr>
          <w:rFonts w:ascii="Arial Narrow" w:hAnsi="Arial Narrow"/>
          <w:i/>
          <w:iCs/>
        </w:rPr>
        <w:t xml:space="preserve"> sia nella modalità delta che completa. </w:t>
      </w:r>
      <w:r w:rsidRPr="007B13FD">
        <w:rPr>
          <w:rFonts w:ascii="Arial Narrow" w:hAnsi="Arial Narrow"/>
          <w:i/>
          <w:iCs/>
        </w:rPr>
        <w:t xml:space="preserve"> </w:t>
      </w:r>
    </w:p>
    <w:p w14:paraId="797660E4" w14:textId="77777777" w:rsidR="007B13FD" w:rsidRDefault="007B13FD" w:rsidP="007B13F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5967867D" w14:textId="2A92254C" w:rsidR="007B13FD" w:rsidRDefault="007B13FD" w:rsidP="007B13FD">
      <w:pPr>
        <w:pStyle w:val="Paragrafoelenco"/>
        <w:numPr>
          <w:ilvl w:val="0"/>
          <w:numId w:val="27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 w:rsidR="00AE2FD5">
        <w:rPr>
          <w:rFonts w:ascii="Arial Narrow" w:hAnsi="Arial Narrow"/>
        </w:rPr>
        <w:t>funzionalità ruolo Visualizzatore</w:t>
      </w:r>
    </w:p>
    <w:p w14:paraId="633A422A" w14:textId="61FD2BAA" w:rsidR="007B13FD" w:rsidRDefault="007B13FD" w:rsidP="00B829ED">
      <w:pPr>
        <w:spacing w:line="240" w:lineRule="auto"/>
        <w:jc w:val="both"/>
        <w:rPr>
          <w:rFonts w:ascii="Arial Narrow" w:hAnsi="Arial Narrow"/>
          <w:i/>
          <w:iCs/>
        </w:rPr>
      </w:pPr>
      <w:r w:rsidRPr="007B13FD">
        <w:rPr>
          <w:rFonts w:ascii="Arial Narrow" w:hAnsi="Arial Narrow"/>
          <w:i/>
          <w:iCs/>
        </w:rPr>
        <w:t xml:space="preserve">In data </w:t>
      </w:r>
      <w:r w:rsidR="00BB059B">
        <w:rPr>
          <w:rFonts w:ascii="Arial Narrow" w:hAnsi="Arial Narrow"/>
          <w:i/>
          <w:iCs/>
        </w:rPr>
        <w:t>14/03</w:t>
      </w:r>
      <w:r w:rsidRPr="007B13FD">
        <w:rPr>
          <w:rFonts w:ascii="Arial Narrow" w:hAnsi="Arial Narrow"/>
          <w:i/>
          <w:iCs/>
        </w:rPr>
        <w:t>/2022 si è provveduto al completamento del rilascio in ambiente di produzione</w:t>
      </w:r>
      <w:r w:rsidR="00BB059B">
        <w:rPr>
          <w:rFonts w:ascii="Arial Narrow" w:hAnsi="Arial Narrow"/>
          <w:i/>
          <w:iCs/>
        </w:rPr>
        <w:t xml:space="preserve"> delle funzionalità e del ruolo di visualizzatore. </w:t>
      </w:r>
      <w:r w:rsidRPr="007B13FD">
        <w:rPr>
          <w:rFonts w:ascii="Arial Narrow" w:hAnsi="Arial Narrow"/>
          <w:i/>
          <w:iCs/>
        </w:rPr>
        <w:t>L</w:t>
      </w:r>
      <w:r w:rsidR="00881B18">
        <w:rPr>
          <w:rFonts w:ascii="Arial Narrow" w:hAnsi="Arial Narrow"/>
          <w:i/>
          <w:iCs/>
        </w:rPr>
        <w:t xml:space="preserve">a </w:t>
      </w:r>
      <w:r w:rsidRPr="007B13FD">
        <w:rPr>
          <w:rFonts w:ascii="Arial Narrow" w:hAnsi="Arial Narrow"/>
          <w:i/>
          <w:iCs/>
        </w:rPr>
        <w:t>funzionalità rilasciate, in particolare, consent</w:t>
      </w:r>
      <w:r w:rsidR="00881B18">
        <w:rPr>
          <w:rFonts w:ascii="Arial Narrow" w:hAnsi="Arial Narrow"/>
          <w:i/>
          <w:iCs/>
        </w:rPr>
        <w:t>e</w:t>
      </w:r>
      <w:r w:rsidR="00B80E40">
        <w:rPr>
          <w:rFonts w:ascii="Arial Narrow" w:hAnsi="Arial Narrow"/>
          <w:i/>
          <w:iCs/>
        </w:rPr>
        <w:t xml:space="preserve"> </w:t>
      </w:r>
      <w:r w:rsidR="00881B18">
        <w:rPr>
          <w:rFonts w:ascii="Arial Narrow" w:hAnsi="Arial Narrow"/>
          <w:i/>
          <w:iCs/>
        </w:rPr>
        <w:t xml:space="preserve">ad utenti abilitati con tale ruolo di poter visualizzare informazioni di programma e progetto sia a livello di articolazione che di programma. </w:t>
      </w:r>
      <w:proofErr w:type="gramStart"/>
      <w:r w:rsidR="00881B18">
        <w:rPr>
          <w:rFonts w:ascii="Arial Narrow" w:hAnsi="Arial Narrow"/>
          <w:i/>
          <w:iCs/>
        </w:rPr>
        <w:t>E’</w:t>
      </w:r>
      <w:proofErr w:type="gramEnd"/>
      <w:r w:rsidR="00881B18">
        <w:rPr>
          <w:rFonts w:ascii="Arial Narrow" w:hAnsi="Arial Narrow"/>
          <w:i/>
          <w:iCs/>
        </w:rPr>
        <w:t xml:space="preserve"> possibile assegnare specifiche articolazioni a specifici utenti attraverso apposita sezione. </w:t>
      </w:r>
    </w:p>
    <w:p w14:paraId="606200CA" w14:textId="77777777" w:rsidR="00865C0E" w:rsidRDefault="00865C0E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5ADD09CC" w14:textId="77777777" w:rsidR="00865C0E" w:rsidRPr="00B829ED" w:rsidRDefault="00865C0E" w:rsidP="00865C0E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B829ED">
        <w:rPr>
          <w:rFonts w:ascii="Arial Narrow" w:hAnsi="Arial Narrow"/>
        </w:rPr>
        <w:t xml:space="preserve">Adeguamento reportistica </w:t>
      </w:r>
    </w:p>
    <w:p w14:paraId="40B42ADC" w14:textId="26FF576D" w:rsidR="00865C0E" w:rsidRDefault="00865C0E" w:rsidP="00B829ED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 è provveduto ad effettuare adeguamenti sulla reportistica presente sulla versione reingegnerizzata dell’applicativo e si è inoltre proceduto ad aggiungere anche ulteriori report tra cui report </w:t>
      </w:r>
      <w:r w:rsidR="00BB059B">
        <w:rPr>
          <w:rFonts w:ascii="Arial Narrow" w:hAnsi="Arial Narrow"/>
          <w:i/>
          <w:iCs/>
        </w:rPr>
        <w:t xml:space="preserve">rendiconto, report </w:t>
      </w:r>
      <w:r w:rsidR="00881B18">
        <w:rPr>
          <w:rFonts w:ascii="Arial Narrow" w:hAnsi="Arial Narrow"/>
          <w:i/>
          <w:iCs/>
        </w:rPr>
        <w:t xml:space="preserve">DPA, report </w:t>
      </w:r>
      <w:proofErr w:type="gramStart"/>
      <w:r w:rsidR="00881B18">
        <w:rPr>
          <w:rFonts w:ascii="Arial Narrow" w:hAnsi="Arial Narrow"/>
          <w:i/>
          <w:iCs/>
        </w:rPr>
        <w:t>62,report</w:t>
      </w:r>
      <w:proofErr w:type="gramEnd"/>
      <w:r w:rsidR="00881B18">
        <w:rPr>
          <w:rFonts w:ascii="Arial Narrow" w:hAnsi="Arial Narrow"/>
          <w:i/>
          <w:iCs/>
        </w:rPr>
        <w:t xml:space="preserve"> validazioni dati finanziari, report avanzamenti finanziari, report validazioni RIO_REO_RAPM</w:t>
      </w:r>
    </w:p>
    <w:sectPr w:rsidR="00865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C6C2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74B96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66BC"/>
    <w:rsid w:val="006375DE"/>
    <w:rsid w:val="00642625"/>
    <w:rsid w:val="00667959"/>
    <w:rsid w:val="00673CF7"/>
    <w:rsid w:val="006853E1"/>
    <w:rsid w:val="006A51A3"/>
    <w:rsid w:val="006D281F"/>
    <w:rsid w:val="006E1BA4"/>
    <w:rsid w:val="006F013B"/>
    <w:rsid w:val="007013B2"/>
    <w:rsid w:val="00705884"/>
    <w:rsid w:val="00731A24"/>
    <w:rsid w:val="0076455E"/>
    <w:rsid w:val="007B13FD"/>
    <w:rsid w:val="007C1A4A"/>
    <w:rsid w:val="007C70B7"/>
    <w:rsid w:val="00802BB7"/>
    <w:rsid w:val="00865C0E"/>
    <w:rsid w:val="00874A56"/>
    <w:rsid w:val="00881B18"/>
    <w:rsid w:val="008914F8"/>
    <w:rsid w:val="008E6F08"/>
    <w:rsid w:val="008F3FA1"/>
    <w:rsid w:val="00904171"/>
    <w:rsid w:val="009113B6"/>
    <w:rsid w:val="00956D37"/>
    <w:rsid w:val="00963A49"/>
    <w:rsid w:val="0097196D"/>
    <w:rsid w:val="009763DE"/>
    <w:rsid w:val="009B1F94"/>
    <w:rsid w:val="009C53BA"/>
    <w:rsid w:val="009F7D68"/>
    <w:rsid w:val="00A30B06"/>
    <w:rsid w:val="00A33AFC"/>
    <w:rsid w:val="00A36D63"/>
    <w:rsid w:val="00A568E2"/>
    <w:rsid w:val="00A80042"/>
    <w:rsid w:val="00A950EF"/>
    <w:rsid w:val="00A972DE"/>
    <w:rsid w:val="00A97A23"/>
    <w:rsid w:val="00AC2B18"/>
    <w:rsid w:val="00AE29E0"/>
    <w:rsid w:val="00AE2FD5"/>
    <w:rsid w:val="00AF4829"/>
    <w:rsid w:val="00B255E3"/>
    <w:rsid w:val="00B32770"/>
    <w:rsid w:val="00B40196"/>
    <w:rsid w:val="00B75CFE"/>
    <w:rsid w:val="00B80E40"/>
    <w:rsid w:val="00B829ED"/>
    <w:rsid w:val="00BA0865"/>
    <w:rsid w:val="00BA08EC"/>
    <w:rsid w:val="00BB059B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2ED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657C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Dario Raho</cp:lastModifiedBy>
  <cp:revision>13</cp:revision>
  <cp:lastPrinted>2022-03-31T09:45:00Z</cp:lastPrinted>
  <dcterms:created xsi:type="dcterms:W3CDTF">2019-01-17T16:32:00Z</dcterms:created>
  <dcterms:modified xsi:type="dcterms:W3CDTF">2022-03-31T09:45:00Z</dcterms:modified>
</cp:coreProperties>
</file>